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b/>
          <w:bCs/>
          <w:sz w:val="28"/>
          <w:szCs w:val="28"/>
        </w:rPr>
      </w:pPr>
      <w:r>
        <w:rPr>
          <w:rFonts w:ascii="Times New Roman" w:hAnsi="Times New Roman"/>
          <w:b/>
          <w:bCs/>
          <w:sz w:val="28"/>
          <w:szCs w:val="28"/>
        </w:rPr>
        <w:t>经营者集中简易案件公示表</w:t>
      </w:r>
    </w:p>
    <w:p>
      <w:pPr>
        <w:spacing w:line="440" w:lineRule="exact"/>
        <w:jc w:val="center"/>
        <w:rPr>
          <w:rFonts w:ascii="Times New Roman" w:hAnsi="Times New Roman"/>
          <w:sz w:val="28"/>
          <w:szCs w:val="28"/>
        </w:rPr>
      </w:pP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4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Times New Roman" w:hAnsi="Times New Roman"/>
                <w:b/>
                <w:bCs/>
                <w:szCs w:val="21"/>
              </w:rPr>
            </w:pPr>
            <w:r>
              <w:rPr>
                <w:rFonts w:ascii="Times New Roman" w:hAnsi="Times New Roman"/>
                <w:b/>
                <w:bCs/>
                <w:szCs w:val="21"/>
              </w:rPr>
              <w:t>案件名称</w:t>
            </w:r>
          </w:p>
        </w:tc>
        <w:tc>
          <w:tcPr>
            <w:tcW w:w="6550" w:type="dxa"/>
            <w:gridSpan w:val="2"/>
            <w:shd w:val="clear" w:color="auto" w:fill="auto"/>
            <w:vAlign w:val="center"/>
          </w:tcPr>
          <w:p>
            <w:pPr>
              <w:spacing w:before="156" w:beforeLines="50" w:after="156" w:afterLines="50"/>
              <w:rPr>
                <w:rFonts w:ascii="Times New Roman" w:hAnsi="Times New Roman"/>
                <w:szCs w:val="21"/>
              </w:rPr>
            </w:pPr>
            <w:r>
              <w:rPr>
                <w:rFonts w:hint="eastAsia" w:ascii="Times New Roman" w:hAnsi="Times New Roman"/>
                <w:kern w:val="0"/>
                <w:szCs w:val="21"/>
              </w:rPr>
              <w:t>菲利普斯66</w:t>
            </w:r>
            <w:r>
              <w:rPr>
                <w:rFonts w:hint="eastAsia" w:ascii="Times New Roman" w:hAnsi="Times New Roman"/>
                <w:kern w:val="0"/>
                <w:szCs w:val="21"/>
                <w:lang w:eastAsia="zh-CN"/>
              </w:rPr>
              <w:t>公司</w:t>
            </w:r>
            <w:bookmarkStart w:id="0" w:name="_GoBack"/>
            <w:bookmarkEnd w:id="0"/>
            <w:r>
              <w:rPr>
                <w:rFonts w:hint="eastAsia" w:ascii="Times New Roman" w:hAnsi="Times New Roman"/>
                <w:kern w:val="0"/>
                <w:szCs w:val="21"/>
              </w:rPr>
              <w:t>与H</w:t>
            </w:r>
            <w:r>
              <w:rPr>
                <w:rFonts w:ascii="Times New Roman" w:hAnsi="Times New Roman"/>
                <w:kern w:val="0"/>
                <w:szCs w:val="21"/>
              </w:rPr>
              <w:t>2</w:t>
            </w:r>
            <w:r>
              <w:rPr>
                <w:rFonts w:hint="eastAsia" w:ascii="Times New Roman" w:hAnsi="Times New Roman"/>
                <w:kern w:val="0"/>
                <w:szCs w:val="21"/>
              </w:rPr>
              <w:t>能源欧洲公司（“</w:t>
            </w:r>
            <w:r>
              <w:rPr>
                <w:rFonts w:hint="eastAsia" w:ascii="Times New Roman" w:hAnsi="Times New Roman"/>
                <w:b/>
                <w:bCs/>
                <w:kern w:val="0"/>
                <w:szCs w:val="21"/>
              </w:rPr>
              <w:t>H</w:t>
            </w:r>
            <w:r>
              <w:rPr>
                <w:rFonts w:ascii="Times New Roman" w:hAnsi="Times New Roman"/>
                <w:b/>
                <w:bCs/>
                <w:kern w:val="0"/>
                <w:szCs w:val="21"/>
              </w:rPr>
              <w:t>2</w:t>
            </w:r>
            <w:r>
              <w:rPr>
                <w:rFonts w:hint="eastAsia" w:ascii="Times New Roman" w:hAnsi="Times New Roman"/>
                <w:b/>
                <w:bCs/>
                <w:kern w:val="0"/>
                <w:szCs w:val="21"/>
              </w:rPr>
              <w:t>能源</w:t>
            </w:r>
            <w:r>
              <w:rPr>
                <w:rFonts w:hint="eastAsia" w:ascii="Times New Roman" w:hAnsi="Times New Roman"/>
                <w:kern w:val="0"/>
                <w:szCs w:val="21"/>
              </w:rPr>
              <w:t>”，与菲利普斯6</w:t>
            </w:r>
            <w:r>
              <w:rPr>
                <w:rFonts w:ascii="Times New Roman" w:hAnsi="Times New Roman"/>
                <w:kern w:val="0"/>
                <w:szCs w:val="21"/>
              </w:rPr>
              <w:t>6</w:t>
            </w:r>
            <w:r>
              <w:rPr>
                <w:rFonts w:hint="eastAsia" w:ascii="Times New Roman" w:hAnsi="Times New Roman"/>
                <w:kern w:val="0"/>
                <w:szCs w:val="21"/>
              </w:rPr>
              <w:t>合称为“</w:t>
            </w:r>
            <w:r>
              <w:rPr>
                <w:rFonts w:hint="eastAsia" w:ascii="Times New Roman" w:hAnsi="Times New Roman"/>
                <w:b/>
                <w:bCs/>
                <w:kern w:val="0"/>
                <w:szCs w:val="21"/>
              </w:rPr>
              <w:t>交易双方</w:t>
            </w:r>
            <w:r>
              <w:rPr>
                <w:rFonts w:hint="eastAsia" w:ascii="Times New Roman" w:hAnsi="Times New Roman"/>
                <w:kern w:val="0"/>
                <w:szCs w:val="21"/>
              </w:rPr>
              <w:t>”）新设合营企业案（“</w:t>
            </w:r>
            <w:r>
              <w:rPr>
                <w:rFonts w:hint="eastAsia" w:ascii="Times New Roman" w:hAnsi="Times New Roman"/>
                <w:b/>
                <w:bCs/>
                <w:kern w:val="0"/>
                <w:szCs w:val="21"/>
              </w:rPr>
              <w:t>拟议交易</w:t>
            </w:r>
            <w:r>
              <w:rPr>
                <w:rFonts w:hint="eastAsia" w:ascii="Times New Roman" w:hAns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spacing w:line="500" w:lineRule="exact"/>
              <w:rPr>
                <w:rFonts w:ascii="Times New Roman" w:hAnsi="Times New Roman"/>
                <w:b/>
                <w:bCs/>
                <w:szCs w:val="21"/>
              </w:rPr>
            </w:pPr>
            <w:r>
              <w:rPr>
                <w:rFonts w:ascii="Times New Roman" w:hAnsi="Times New Roman"/>
                <w:b/>
                <w:bCs/>
                <w:szCs w:val="21"/>
              </w:rPr>
              <w:t>交易概况（限200字内）</w:t>
            </w:r>
          </w:p>
        </w:tc>
        <w:tc>
          <w:tcPr>
            <w:tcW w:w="6550" w:type="dxa"/>
            <w:gridSpan w:val="2"/>
          </w:tcPr>
          <w:p>
            <w:pPr>
              <w:tabs>
                <w:tab w:val="left" w:pos="651"/>
              </w:tabs>
              <w:spacing w:before="156" w:beforeLines="50" w:after="156" w:afterLines="50"/>
              <w:rPr>
                <w:rFonts w:ascii="Times New Roman" w:hAnsi="Times New Roman"/>
                <w:color w:val="000000"/>
                <w:szCs w:val="21"/>
              </w:rPr>
            </w:pPr>
            <w:r>
              <w:rPr>
                <w:rFonts w:hint="eastAsia" w:ascii="Times New Roman" w:hAnsi="Times New Roman"/>
                <w:color w:val="000000"/>
                <w:szCs w:val="21"/>
              </w:rPr>
              <w:t>交易双方签署了一份《股东协议》，根据该协议，双方将于奥地利设立并共同控制一家</w:t>
            </w:r>
            <w:r>
              <w:rPr>
                <w:rFonts w:hint="eastAsia" w:ascii="Times New Roman" w:hAnsi="Times New Roman"/>
                <w:color w:val="000000"/>
                <w:szCs w:val="21"/>
                <w:lang w:eastAsia="zh-CN"/>
              </w:rPr>
              <w:t>绿地</w:t>
            </w:r>
            <w:r>
              <w:rPr>
                <w:rFonts w:hint="eastAsia" w:ascii="Times New Roman" w:hAnsi="Times New Roman"/>
                <w:color w:val="000000"/>
                <w:szCs w:val="21"/>
              </w:rPr>
              <w:t>合营企业，该合营企业将在奥地利、丹麦和德国开发和运营加氢站。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809" w:type="dxa"/>
            <w:vMerge w:val="restart"/>
            <w:shd w:val="clear" w:color="auto" w:fill="D9D9D9"/>
          </w:tcPr>
          <w:p>
            <w:pPr>
              <w:spacing w:line="500" w:lineRule="exact"/>
              <w:rPr>
                <w:rFonts w:ascii="Times New Roman" w:hAnsi="Times New Roman"/>
                <w:b/>
                <w:bCs/>
                <w:szCs w:val="21"/>
              </w:rPr>
            </w:pPr>
            <w:r>
              <w:rPr>
                <w:rFonts w:ascii="Times New Roman" w:hAnsi="Times New Roman"/>
                <w:b/>
                <w:bCs/>
                <w:szCs w:val="21"/>
              </w:rPr>
              <w:t>参与集中的经营者简介</w:t>
            </w:r>
          </w:p>
        </w:tc>
        <w:tc>
          <w:tcPr>
            <w:tcW w:w="1796" w:type="dxa"/>
          </w:tcPr>
          <w:p>
            <w:pPr>
              <w:pStyle w:val="20"/>
              <w:numPr>
                <w:ilvl w:val="0"/>
                <w:numId w:val="1"/>
              </w:numPr>
              <w:spacing w:before="156" w:beforeLines="50" w:after="156" w:afterLines="50"/>
              <w:ind w:left="357" w:hanging="357" w:firstLineChars="0"/>
              <w:rPr>
                <w:rFonts w:ascii="Times New Roman" w:hAnsi="Times New Roman"/>
                <w:szCs w:val="21"/>
              </w:rPr>
            </w:pPr>
            <w:r>
              <w:rPr>
                <w:rFonts w:hint="eastAsia" w:ascii="Times New Roman" w:hAnsi="Times New Roman"/>
                <w:szCs w:val="21"/>
              </w:rPr>
              <w:t>H</w:t>
            </w:r>
            <w:r>
              <w:rPr>
                <w:rFonts w:ascii="Times New Roman" w:hAnsi="Times New Roman"/>
                <w:szCs w:val="21"/>
              </w:rPr>
              <w:t>2</w:t>
            </w:r>
            <w:r>
              <w:rPr>
                <w:rFonts w:hint="eastAsia" w:ascii="Times New Roman" w:hAnsi="Times New Roman"/>
                <w:szCs w:val="21"/>
              </w:rPr>
              <w:t>能源</w:t>
            </w:r>
          </w:p>
        </w:tc>
        <w:tc>
          <w:tcPr>
            <w:tcW w:w="4754" w:type="dxa"/>
          </w:tcPr>
          <w:p>
            <w:pPr>
              <w:spacing w:before="156" w:beforeLines="50" w:after="156" w:afterLines="50"/>
              <w:rPr>
                <w:rFonts w:ascii="Times New Roman" w:hAnsi="Times New Roman"/>
                <w:szCs w:val="21"/>
              </w:rPr>
            </w:pPr>
            <w:r>
              <w:rPr>
                <w:rFonts w:hint="eastAsia" w:ascii="Times New Roman" w:hAnsi="Times New Roman"/>
                <w:szCs w:val="21"/>
              </w:rPr>
              <w:t>H2能源根据瑞士法律成立于2021年。H2能源及其关联实体从事氢气技术和可再生氢气的生态系统的开发业务，且不在中国境内开展任何业务。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tcPr>
          <w:p>
            <w:pPr>
              <w:spacing w:line="500" w:lineRule="exact"/>
              <w:rPr>
                <w:rFonts w:ascii="Times New Roman" w:hAnsi="Times New Roman"/>
                <w:szCs w:val="21"/>
              </w:rPr>
            </w:pPr>
          </w:p>
        </w:tc>
        <w:tc>
          <w:tcPr>
            <w:tcW w:w="1796" w:type="dxa"/>
          </w:tcPr>
          <w:p>
            <w:pPr>
              <w:pStyle w:val="20"/>
              <w:numPr>
                <w:ilvl w:val="0"/>
                <w:numId w:val="1"/>
              </w:numPr>
              <w:spacing w:before="156" w:beforeLines="50" w:after="156" w:afterLines="50"/>
              <w:ind w:firstLineChars="0"/>
              <w:rPr>
                <w:rFonts w:ascii="Times New Roman" w:hAnsi="Times New Roman"/>
                <w:szCs w:val="21"/>
              </w:rPr>
            </w:pPr>
            <w:r>
              <w:rPr>
                <w:rFonts w:hint="eastAsia" w:ascii="Times New Roman" w:hAnsi="Times New Roman"/>
                <w:szCs w:val="21"/>
              </w:rPr>
              <w:t>菲利普斯6</w:t>
            </w:r>
            <w:r>
              <w:rPr>
                <w:rFonts w:ascii="Times New Roman" w:hAnsi="Times New Roman"/>
                <w:szCs w:val="21"/>
              </w:rPr>
              <w:t>6</w:t>
            </w:r>
          </w:p>
        </w:tc>
        <w:tc>
          <w:tcPr>
            <w:tcW w:w="4754" w:type="dxa"/>
          </w:tcPr>
          <w:p>
            <w:pPr>
              <w:spacing w:before="156" w:beforeLines="50" w:after="156" w:afterLines="50"/>
              <w:rPr>
                <w:rFonts w:ascii="Times New Roman" w:hAnsi="Times New Roman"/>
                <w:color w:val="000000"/>
                <w:szCs w:val="21"/>
              </w:rPr>
            </w:pPr>
            <w:r>
              <w:rPr>
                <w:rFonts w:hint="eastAsia" w:ascii="Times New Roman" w:hAnsi="Times New Roman"/>
                <w:szCs w:val="21"/>
              </w:rPr>
              <w:t>菲利普斯66是一家美国跨国能源公司，根据美国特拉华州的法律正式成立并存续，并在纽约证券交易所上市。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Times New Roman" w:hAnsi="Times New Roman"/>
                <w:b/>
                <w:bCs/>
                <w:szCs w:val="21"/>
              </w:rPr>
            </w:pPr>
            <w:r>
              <w:rPr>
                <w:rFonts w:ascii="Times New Roman" w:hAnsi="Times New Roman"/>
                <w:b/>
                <w:bCs/>
                <w:szCs w:val="21"/>
              </w:rPr>
              <w:t>简易案件理由（可以单选，也可以多选）</w:t>
            </w:r>
          </w:p>
        </w:tc>
        <w:tc>
          <w:tcPr>
            <w:tcW w:w="6550" w:type="dxa"/>
            <w:gridSpan w:val="2"/>
          </w:tcPr>
          <w:p>
            <w:pPr>
              <w:spacing w:line="500" w:lineRule="exact"/>
              <w:rPr>
                <w:rFonts w:ascii="Times New Roman" w:hAnsi="Times New Roman"/>
                <w:szCs w:val="21"/>
              </w:rPr>
            </w:pPr>
            <w:r>
              <w:rPr>
                <w:rFonts w:ascii="Times New Roman" w:hAnsi="Times New Roman" w:cs="Arial"/>
                <w:szCs w:val="21"/>
                <w:lang w:val="en-GB"/>
              </w:rPr>
              <w:sym w:font="Wingdings" w:char="F0A8"/>
            </w:r>
            <w:r>
              <w:rPr>
                <w:rFonts w:ascii="Times New Roman" w:hAnsi="Times New Roman"/>
                <w:szCs w:val="21"/>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Times New Roman" w:hAnsi="Times New Roman"/>
                <w:szCs w:val="21"/>
              </w:rPr>
            </w:pPr>
          </w:p>
        </w:tc>
        <w:tc>
          <w:tcPr>
            <w:tcW w:w="6550" w:type="dxa"/>
            <w:gridSpan w:val="2"/>
          </w:tcPr>
          <w:p>
            <w:pPr>
              <w:spacing w:line="500" w:lineRule="exact"/>
              <w:rPr>
                <w:rFonts w:ascii="Times New Roman" w:hAnsi="Times New Roman"/>
                <w:szCs w:val="21"/>
              </w:rPr>
            </w:pPr>
            <w:r>
              <w:rPr>
                <w:rFonts w:ascii="Times New Roman" w:hAnsi="Times New Roman" w:cs="Arial"/>
                <w:szCs w:val="21"/>
                <w:lang w:val="en-GB"/>
              </w:rPr>
              <w:sym w:font="Wingdings" w:char="F0A8"/>
            </w:r>
            <w:r>
              <w:rPr>
                <w:rFonts w:ascii="Times New Roman" w:hAnsi="Times New Roman" w:cs="Arial"/>
                <w:szCs w:val="21"/>
                <w:lang w:val="en-GB"/>
              </w:rPr>
              <w:t xml:space="preserve"> </w:t>
            </w:r>
            <w:r>
              <w:rPr>
                <w:rFonts w:ascii="Times New Roman" w:hAnsi="Times New Roman"/>
                <w:szCs w:val="21"/>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tcPr>
          <w:p>
            <w:pPr>
              <w:spacing w:line="500" w:lineRule="exact"/>
              <w:rPr>
                <w:rFonts w:ascii="Times New Roman" w:hAnsi="Times New Roman"/>
                <w:szCs w:val="21"/>
              </w:rPr>
            </w:pPr>
          </w:p>
        </w:tc>
        <w:tc>
          <w:tcPr>
            <w:tcW w:w="6550" w:type="dxa"/>
            <w:gridSpan w:val="2"/>
          </w:tcPr>
          <w:p>
            <w:pPr>
              <w:spacing w:line="500" w:lineRule="exact"/>
              <w:rPr>
                <w:rFonts w:ascii="Times New Roman" w:hAnsi="Times New Roman"/>
                <w:szCs w:val="21"/>
              </w:rPr>
            </w:pPr>
            <w:r>
              <w:rPr>
                <w:rFonts w:ascii="Times New Roman" w:hAnsi="Times New Roman" w:cs="Arial"/>
                <w:szCs w:val="21"/>
                <w:lang w:val="en-GB"/>
              </w:rPr>
              <w:sym w:font="Wingdings" w:char="F0A8"/>
            </w:r>
            <w:r>
              <w:rPr>
                <w:rFonts w:ascii="Times New Roman" w:hAnsi="Times New Roman"/>
                <w:szCs w:val="21"/>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Times New Roman" w:hAnsi="Times New Roman"/>
                <w:szCs w:val="21"/>
              </w:rPr>
            </w:pPr>
          </w:p>
        </w:tc>
        <w:tc>
          <w:tcPr>
            <w:tcW w:w="6550" w:type="dxa"/>
            <w:gridSpan w:val="2"/>
          </w:tcPr>
          <w:p>
            <w:pPr>
              <w:spacing w:line="500" w:lineRule="exact"/>
              <w:rPr>
                <w:rFonts w:ascii="Times New Roman" w:hAnsi="Times New Roman"/>
                <w:szCs w:val="21"/>
              </w:rPr>
            </w:pPr>
            <w:r>
              <w:rPr>
                <w:rFonts w:ascii="Times New Roman" w:hAnsi="Times New Roman" w:cs="Arial"/>
                <w:szCs w:val="21"/>
                <w:lang w:val="en-GB"/>
              </w:rPr>
              <w:sym w:font="Wingdings" w:char="F0FE"/>
            </w:r>
            <w:r>
              <w:rPr>
                <w:rFonts w:ascii="Times New Roman" w:hAnsi="Times New Roman"/>
                <w:szCs w:val="21"/>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Times New Roman" w:hAnsi="Times New Roman"/>
                <w:szCs w:val="21"/>
              </w:rPr>
            </w:pPr>
          </w:p>
        </w:tc>
        <w:tc>
          <w:tcPr>
            <w:tcW w:w="6550" w:type="dxa"/>
            <w:gridSpan w:val="2"/>
          </w:tcPr>
          <w:p>
            <w:pPr>
              <w:spacing w:line="500" w:lineRule="exact"/>
              <w:rPr>
                <w:rFonts w:ascii="Times New Roman" w:hAnsi="Times New Roman"/>
                <w:szCs w:val="21"/>
              </w:rPr>
            </w:pPr>
            <w:r>
              <w:rPr>
                <w:rFonts w:ascii="Times New Roman" w:hAnsi="Times New Roman" w:cs="Arial"/>
                <w:szCs w:val="21"/>
                <w:lang w:val="en-GB"/>
              </w:rPr>
              <w:sym w:font="Wingdings" w:char="F0A8"/>
            </w:r>
            <w:r>
              <w:rPr>
                <w:rFonts w:ascii="Times New Roman" w:hAnsi="Times New Roman"/>
                <w:szCs w:val="21"/>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Times New Roman" w:hAnsi="Times New Roman"/>
                <w:szCs w:val="21"/>
              </w:rPr>
            </w:pPr>
          </w:p>
        </w:tc>
        <w:tc>
          <w:tcPr>
            <w:tcW w:w="6550" w:type="dxa"/>
            <w:gridSpan w:val="2"/>
          </w:tcPr>
          <w:p>
            <w:pPr>
              <w:spacing w:line="500" w:lineRule="exact"/>
              <w:rPr>
                <w:rFonts w:ascii="Times New Roman" w:hAnsi="Times New Roman"/>
                <w:szCs w:val="21"/>
              </w:rPr>
            </w:pPr>
            <w:r>
              <w:rPr>
                <w:rFonts w:ascii="Times New Roman" w:hAnsi="Times New Roman" w:cs="Arial"/>
                <w:szCs w:val="21"/>
                <w:lang w:val="en-GB"/>
              </w:rPr>
              <w:sym w:font="Wingdings" w:char="F0A8"/>
            </w:r>
            <w:r>
              <w:rPr>
                <w:rFonts w:ascii="Times New Roman" w:hAnsi="Times New Roman"/>
                <w:szCs w:val="21"/>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809" w:type="dxa"/>
            <w:shd w:val="clear" w:color="auto" w:fill="D9D9D9"/>
          </w:tcPr>
          <w:p>
            <w:pPr>
              <w:spacing w:line="500" w:lineRule="exact"/>
              <w:rPr>
                <w:rFonts w:ascii="Times New Roman" w:hAnsi="Times New Roman"/>
                <w:b/>
                <w:bCs/>
                <w:szCs w:val="21"/>
              </w:rPr>
            </w:pPr>
            <w:r>
              <w:rPr>
                <w:rFonts w:ascii="Times New Roman" w:hAnsi="Times New Roman"/>
                <w:b/>
                <w:bCs/>
                <w:szCs w:val="21"/>
              </w:rPr>
              <w:t>备注</w:t>
            </w:r>
          </w:p>
        </w:tc>
        <w:tc>
          <w:tcPr>
            <w:tcW w:w="6550" w:type="dxa"/>
            <w:gridSpan w:val="2"/>
          </w:tcPr>
          <w:p>
            <w:pPr>
              <w:spacing w:before="156" w:beforeLines="50" w:after="156" w:afterLines="50"/>
              <w:rPr>
                <w:rFonts w:ascii="Times New Roman" w:hAnsi="Times New Roman"/>
                <w:szCs w:val="21"/>
              </w:rPr>
            </w:pPr>
            <w:r>
              <w:rPr>
                <w:rFonts w:hint="eastAsia" w:ascii="Times New Roman" w:hAnsi="Times New Roman"/>
                <w:szCs w:val="21"/>
              </w:rPr>
              <w:t>不适用</w:t>
            </w:r>
          </w:p>
        </w:tc>
      </w:tr>
    </w:tbl>
    <w:p>
      <w:pPr>
        <w:snapToGrid w:val="0"/>
        <w:spacing w:line="240" w:lineRule="exact"/>
        <w:jc w:val="left"/>
        <w:rPr>
          <w:rFonts w:ascii="Times New Roman" w:hAnsi="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PMingLiU">
    <w:altName w:val="Droid Sans Fallback"/>
    <w:panose1 w:val="02010601000101010101"/>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376438"/>
      <w:docPartObj>
        <w:docPartGallery w:val="autotext"/>
      </w:docPartObj>
    </w:sdtPr>
    <w:sdtEndPr>
      <w:rPr>
        <w:rFonts w:ascii="Times New Roman" w:hAnsi="Times New Roman"/>
      </w:rPr>
    </w:sdtEndPr>
    <w:sdtContent>
      <w:sdt>
        <w:sdtPr>
          <w:id w:val="1728636285"/>
          <w:docPartObj>
            <w:docPartGallery w:val="autotext"/>
          </w:docPartObj>
        </w:sdtPr>
        <w:sdtEndPr>
          <w:rPr>
            <w:rFonts w:ascii="Times New Roman" w:hAnsi="Times New Roman"/>
          </w:rPr>
        </w:sdtEndPr>
        <w:sdtContent>
          <w:p>
            <w:pPr>
              <w:pStyle w:val="5"/>
              <w:jc w:val="center"/>
              <w:rPr>
                <w:rFonts w:ascii="Times New Roman" w:hAnsi="Times New Roman"/>
              </w:rPr>
            </w:pPr>
            <w:r>
              <w:rPr>
                <w:rFonts w:ascii="Times New Roman" w:hAnsi="Times New Roman"/>
                <w:lang w:val="zh-CN"/>
              </w:rPr>
              <w:t xml:space="preserve"> </w:t>
            </w:r>
            <w:r>
              <w:rPr>
                <w:rFonts w:ascii="Times New Roman" w:hAnsi="Times New Roman"/>
                <w:b/>
                <w:bCs/>
                <w:sz w:val="24"/>
                <w:szCs w:val="24"/>
              </w:rPr>
              <w:fldChar w:fldCharType="begin"/>
            </w:r>
            <w:r>
              <w:rPr>
                <w:rFonts w:ascii="Times New Roman" w:hAnsi="Times New Roman"/>
                <w:b/>
                <w:bCs/>
              </w:rPr>
              <w:instrText xml:space="preserve">PAGE</w:instrText>
            </w:r>
            <w:r>
              <w:rPr>
                <w:rFonts w:ascii="Times New Roman" w:hAnsi="Times New Roman"/>
                <w:b/>
                <w:bCs/>
                <w:sz w:val="24"/>
                <w:szCs w:val="24"/>
              </w:rPr>
              <w:fldChar w:fldCharType="separate"/>
            </w:r>
            <w:r>
              <w:rPr>
                <w:rFonts w:ascii="Times New Roman" w:hAnsi="Times New Roman"/>
                <w:b/>
                <w:bCs/>
              </w:rPr>
              <w:t>1</w:t>
            </w:r>
            <w:r>
              <w:rPr>
                <w:rFonts w:ascii="Times New Roman" w:hAnsi="Times New Roman"/>
                <w:b/>
                <w:bCs/>
                <w:sz w:val="24"/>
                <w:szCs w:val="24"/>
              </w:rPr>
              <w:fldChar w:fldCharType="end"/>
            </w:r>
            <w:r>
              <w:rPr>
                <w:rFonts w:ascii="Times New Roman" w:hAnsi="Times New Roman"/>
                <w:lang w:val="zh-CN"/>
              </w:rPr>
              <w:t xml:space="preserve"> / </w:t>
            </w:r>
            <w:r>
              <w:rPr>
                <w:rFonts w:ascii="Times New Roman" w:hAnsi="Times New Roman"/>
                <w:b/>
                <w:bCs/>
                <w:sz w:val="24"/>
                <w:szCs w:val="24"/>
              </w:rPr>
              <w:fldChar w:fldCharType="begin"/>
            </w:r>
            <w:r>
              <w:rPr>
                <w:rFonts w:ascii="Times New Roman" w:hAnsi="Times New Roman"/>
                <w:b/>
                <w:bCs/>
              </w:rPr>
              <w:instrText xml:space="preserve">NUMPAGES</w:instrText>
            </w:r>
            <w:r>
              <w:rPr>
                <w:rFonts w:ascii="Times New Roman" w:hAnsi="Times New Roman"/>
                <w:b/>
                <w:bCs/>
                <w:sz w:val="24"/>
                <w:szCs w:val="24"/>
              </w:rPr>
              <w:fldChar w:fldCharType="separate"/>
            </w:r>
            <w:r>
              <w:rPr>
                <w:rFonts w:ascii="Times New Roman" w:hAnsi="Times New Roman"/>
                <w:b/>
                <w:bCs/>
              </w:rPr>
              <w:t>2</w:t>
            </w:r>
            <w:r>
              <w:rPr>
                <w:rFonts w:ascii="Times New Roman" w:hAnsi="Times New Roman"/>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A4903"/>
    <w:multiLevelType w:val="multilevel"/>
    <w:tmpl w:val="1C6A49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05B69"/>
    <w:rsid w:val="00006080"/>
    <w:rsid w:val="0002587C"/>
    <w:rsid w:val="00036A9D"/>
    <w:rsid w:val="00037213"/>
    <w:rsid w:val="00045507"/>
    <w:rsid w:val="0005594E"/>
    <w:rsid w:val="0007651B"/>
    <w:rsid w:val="00082738"/>
    <w:rsid w:val="00084D3A"/>
    <w:rsid w:val="00087D30"/>
    <w:rsid w:val="000917F0"/>
    <w:rsid w:val="00094095"/>
    <w:rsid w:val="000A3CA7"/>
    <w:rsid w:val="000B0EC8"/>
    <w:rsid w:val="000C5BC7"/>
    <w:rsid w:val="000E7FC9"/>
    <w:rsid w:val="00100B60"/>
    <w:rsid w:val="00113543"/>
    <w:rsid w:val="00117B9E"/>
    <w:rsid w:val="00137BCF"/>
    <w:rsid w:val="001417D8"/>
    <w:rsid w:val="0015166A"/>
    <w:rsid w:val="00165964"/>
    <w:rsid w:val="001913F9"/>
    <w:rsid w:val="00192C2C"/>
    <w:rsid w:val="00193065"/>
    <w:rsid w:val="001A6CB8"/>
    <w:rsid w:val="001A6F96"/>
    <w:rsid w:val="001C1B23"/>
    <w:rsid w:val="001E393B"/>
    <w:rsid w:val="0020313A"/>
    <w:rsid w:val="00205795"/>
    <w:rsid w:val="002128F6"/>
    <w:rsid w:val="002158DC"/>
    <w:rsid w:val="00233AB0"/>
    <w:rsid w:val="00245776"/>
    <w:rsid w:val="00262658"/>
    <w:rsid w:val="00266A6B"/>
    <w:rsid w:val="0029252D"/>
    <w:rsid w:val="002E2C9F"/>
    <w:rsid w:val="002E720A"/>
    <w:rsid w:val="002F2D60"/>
    <w:rsid w:val="00302FE1"/>
    <w:rsid w:val="003048E8"/>
    <w:rsid w:val="003061D7"/>
    <w:rsid w:val="00307976"/>
    <w:rsid w:val="0031093F"/>
    <w:rsid w:val="003145BC"/>
    <w:rsid w:val="00316B15"/>
    <w:rsid w:val="0032355A"/>
    <w:rsid w:val="00324F6D"/>
    <w:rsid w:val="003C306B"/>
    <w:rsid w:val="003C75D7"/>
    <w:rsid w:val="003D3128"/>
    <w:rsid w:val="003D60DB"/>
    <w:rsid w:val="003F170C"/>
    <w:rsid w:val="004030E1"/>
    <w:rsid w:val="00427074"/>
    <w:rsid w:val="00445F6B"/>
    <w:rsid w:val="00462174"/>
    <w:rsid w:val="00497E7B"/>
    <w:rsid w:val="004B00C8"/>
    <w:rsid w:val="004B3A56"/>
    <w:rsid w:val="004C2586"/>
    <w:rsid w:val="00507D9C"/>
    <w:rsid w:val="00525467"/>
    <w:rsid w:val="00527F6A"/>
    <w:rsid w:val="00557102"/>
    <w:rsid w:val="00563A4C"/>
    <w:rsid w:val="00566CC7"/>
    <w:rsid w:val="00574B4E"/>
    <w:rsid w:val="00574F2D"/>
    <w:rsid w:val="0058057F"/>
    <w:rsid w:val="005830FE"/>
    <w:rsid w:val="005B533D"/>
    <w:rsid w:val="005C3D32"/>
    <w:rsid w:val="005D087D"/>
    <w:rsid w:val="005D1309"/>
    <w:rsid w:val="005D1B7F"/>
    <w:rsid w:val="005E5B91"/>
    <w:rsid w:val="005F167B"/>
    <w:rsid w:val="005F5FFA"/>
    <w:rsid w:val="006113D3"/>
    <w:rsid w:val="00616F24"/>
    <w:rsid w:val="006300C0"/>
    <w:rsid w:val="006408AB"/>
    <w:rsid w:val="006447F2"/>
    <w:rsid w:val="00644C5B"/>
    <w:rsid w:val="00645D6F"/>
    <w:rsid w:val="006631B4"/>
    <w:rsid w:val="006670A5"/>
    <w:rsid w:val="0067330C"/>
    <w:rsid w:val="00675286"/>
    <w:rsid w:val="00692DA5"/>
    <w:rsid w:val="00693879"/>
    <w:rsid w:val="006A4D58"/>
    <w:rsid w:val="006A4F76"/>
    <w:rsid w:val="006A5728"/>
    <w:rsid w:val="006B49BF"/>
    <w:rsid w:val="006D0734"/>
    <w:rsid w:val="006D6449"/>
    <w:rsid w:val="006E4C68"/>
    <w:rsid w:val="00720227"/>
    <w:rsid w:val="00720679"/>
    <w:rsid w:val="00732EE9"/>
    <w:rsid w:val="00734239"/>
    <w:rsid w:val="007364E2"/>
    <w:rsid w:val="0074694B"/>
    <w:rsid w:val="007543A3"/>
    <w:rsid w:val="00785C5F"/>
    <w:rsid w:val="007A0249"/>
    <w:rsid w:val="007C000E"/>
    <w:rsid w:val="007C7803"/>
    <w:rsid w:val="007F7871"/>
    <w:rsid w:val="008010AD"/>
    <w:rsid w:val="0080386C"/>
    <w:rsid w:val="008110BD"/>
    <w:rsid w:val="008354FF"/>
    <w:rsid w:val="0084303C"/>
    <w:rsid w:val="0084728A"/>
    <w:rsid w:val="00847841"/>
    <w:rsid w:val="008736FC"/>
    <w:rsid w:val="008750C5"/>
    <w:rsid w:val="008764AD"/>
    <w:rsid w:val="00877D76"/>
    <w:rsid w:val="00885D99"/>
    <w:rsid w:val="008926BD"/>
    <w:rsid w:val="0089745C"/>
    <w:rsid w:val="008A7ED7"/>
    <w:rsid w:val="008C10CC"/>
    <w:rsid w:val="008E44E6"/>
    <w:rsid w:val="008E5AC1"/>
    <w:rsid w:val="008F18B2"/>
    <w:rsid w:val="008F634B"/>
    <w:rsid w:val="00900557"/>
    <w:rsid w:val="009134D0"/>
    <w:rsid w:val="0093344B"/>
    <w:rsid w:val="0095347A"/>
    <w:rsid w:val="009733B4"/>
    <w:rsid w:val="0097529A"/>
    <w:rsid w:val="00997099"/>
    <w:rsid w:val="009A7BF2"/>
    <w:rsid w:val="009B22D1"/>
    <w:rsid w:val="009B5555"/>
    <w:rsid w:val="009C1D9D"/>
    <w:rsid w:val="009C5ACB"/>
    <w:rsid w:val="009E544B"/>
    <w:rsid w:val="009F7FE9"/>
    <w:rsid w:val="00A042B2"/>
    <w:rsid w:val="00A41E6A"/>
    <w:rsid w:val="00A43A3E"/>
    <w:rsid w:val="00A67610"/>
    <w:rsid w:val="00A73519"/>
    <w:rsid w:val="00A73EC0"/>
    <w:rsid w:val="00A77BD3"/>
    <w:rsid w:val="00AA1615"/>
    <w:rsid w:val="00AA1A78"/>
    <w:rsid w:val="00AB1BC4"/>
    <w:rsid w:val="00AD646B"/>
    <w:rsid w:val="00AE4C10"/>
    <w:rsid w:val="00AF0BB8"/>
    <w:rsid w:val="00B01090"/>
    <w:rsid w:val="00B34D88"/>
    <w:rsid w:val="00B357DC"/>
    <w:rsid w:val="00B60E5E"/>
    <w:rsid w:val="00B8768F"/>
    <w:rsid w:val="00BA0750"/>
    <w:rsid w:val="00BA16D2"/>
    <w:rsid w:val="00BA4F7F"/>
    <w:rsid w:val="00BA6F07"/>
    <w:rsid w:val="00BA7437"/>
    <w:rsid w:val="00BB2377"/>
    <w:rsid w:val="00BB3798"/>
    <w:rsid w:val="00BB4C43"/>
    <w:rsid w:val="00BC44C2"/>
    <w:rsid w:val="00BC6BEF"/>
    <w:rsid w:val="00BC768A"/>
    <w:rsid w:val="00BD3D34"/>
    <w:rsid w:val="00BD6EBE"/>
    <w:rsid w:val="00BF0D84"/>
    <w:rsid w:val="00BF6C60"/>
    <w:rsid w:val="00BF7F17"/>
    <w:rsid w:val="00C068D5"/>
    <w:rsid w:val="00C20325"/>
    <w:rsid w:val="00C30030"/>
    <w:rsid w:val="00C318CE"/>
    <w:rsid w:val="00C52346"/>
    <w:rsid w:val="00C75B25"/>
    <w:rsid w:val="00C76979"/>
    <w:rsid w:val="00C76F0E"/>
    <w:rsid w:val="00C8184D"/>
    <w:rsid w:val="00C84314"/>
    <w:rsid w:val="00C9068E"/>
    <w:rsid w:val="00CD148B"/>
    <w:rsid w:val="00CD25EE"/>
    <w:rsid w:val="00CD2BEC"/>
    <w:rsid w:val="00D001A9"/>
    <w:rsid w:val="00D11610"/>
    <w:rsid w:val="00D21777"/>
    <w:rsid w:val="00D2453A"/>
    <w:rsid w:val="00D370A7"/>
    <w:rsid w:val="00D451A4"/>
    <w:rsid w:val="00D515E7"/>
    <w:rsid w:val="00D73A38"/>
    <w:rsid w:val="00DA3B19"/>
    <w:rsid w:val="00DC70AB"/>
    <w:rsid w:val="00DD1C7B"/>
    <w:rsid w:val="00DE39D7"/>
    <w:rsid w:val="00DE7DBD"/>
    <w:rsid w:val="00DF4BCE"/>
    <w:rsid w:val="00E11C0D"/>
    <w:rsid w:val="00E1347C"/>
    <w:rsid w:val="00E21F07"/>
    <w:rsid w:val="00E25016"/>
    <w:rsid w:val="00E32A0C"/>
    <w:rsid w:val="00E34BA1"/>
    <w:rsid w:val="00E54B29"/>
    <w:rsid w:val="00E85DDF"/>
    <w:rsid w:val="00E915EC"/>
    <w:rsid w:val="00EB0EE6"/>
    <w:rsid w:val="00EC669A"/>
    <w:rsid w:val="00ED21B1"/>
    <w:rsid w:val="00ED4254"/>
    <w:rsid w:val="00EE2784"/>
    <w:rsid w:val="00EE4AF0"/>
    <w:rsid w:val="00F16269"/>
    <w:rsid w:val="00F234B2"/>
    <w:rsid w:val="00F26A0F"/>
    <w:rsid w:val="00F418F4"/>
    <w:rsid w:val="00F41E5F"/>
    <w:rsid w:val="00F42BAC"/>
    <w:rsid w:val="00F5086B"/>
    <w:rsid w:val="00F87C1F"/>
    <w:rsid w:val="00FB0D3A"/>
    <w:rsid w:val="00FD4A2C"/>
    <w:rsid w:val="00FE3C66"/>
    <w:rsid w:val="00FE4CAC"/>
    <w:rsid w:val="00FF2D6D"/>
    <w:rsid w:val="3EF37738"/>
    <w:rsid w:val="3FF7B557"/>
    <w:rsid w:val="5FFF1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endnote text"/>
    <w:basedOn w:val="1"/>
    <w:link w:val="15"/>
    <w:semiHidden/>
    <w:unhideWhenUsed/>
    <w:qFormat/>
    <w:uiPriority w:val="99"/>
    <w:pPr>
      <w:snapToGrid w:val="0"/>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1"/>
    <w:semiHidden/>
    <w:qFormat/>
    <w:uiPriority w:val="99"/>
    <w:pPr>
      <w:snapToGrid w:val="0"/>
      <w:jc w:val="left"/>
    </w:pPr>
    <w:rPr>
      <w:rFonts w:ascii="Times New Roman" w:hAnsi="Times New Roman" w:eastAsia="PMingLiU"/>
      <w:sz w:val="20"/>
      <w:szCs w:val="20"/>
      <w:lang w:eastAsia="zh-TW"/>
    </w:rPr>
  </w:style>
  <w:style w:type="paragraph" w:styleId="8">
    <w:name w:val="annotation subject"/>
    <w:basedOn w:val="2"/>
    <w:next w:val="2"/>
    <w:link w:val="23"/>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ndnote reference"/>
    <w:semiHidden/>
    <w:unhideWhenUsed/>
    <w:qFormat/>
    <w:uiPriority w:val="99"/>
    <w:rPr>
      <w:vertAlign w:val="superscript"/>
    </w:rPr>
  </w:style>
  <w:style w:type="character" w:styleId="13">
    <w:name w:val="annotation reference"/>
    <w:basedOn w:val="11"/>
    <w:unhideWhenUsed/>
    <w:qFormat/>
    <w:uiPriority w:val="0"/>
    <w:rPr>
      <w:sz w:val="21"/>
      <w:szCs w:val="21"/>
    </w:rPr>
  </w:style>
  <w:style w:type="character" w:styleId="14">
    <w:name w:val="footnote reference"/>
    <w:semiHidden/>
    <w:unhideWhenUsed/>
    <w:qFormat/>
    <w:uiPriority w:val="99"/>
    <w:rPr>
      <w:vertAlign w:val="superscript"/>
    </w:rPr>
  </w:style>
  <w:style w:type="character" w:customStyle="1" w:styleId="15">
    <w:name w:val="尾注文本 字符"/>
    <w:basedOn w:val="11"/>
    <w:link w:val="3"/>
    <w:semiHidden/>
    <w:qFormat/>
    <w:uiPriority w:val="99"/>
  </w:style>
  <w:style w:type="character" w:customStyle="1" w:styleId="16">
    <w:name w:val="页眉 字符"/>
    <w:link w:val="6"/>
    <w:qFormat/>
    <w:uiPriority w:val="99"/>
    <w:rPr>
      <w:sz w:val="18"/>
      <w:szCs w:val="18"/>
    </w:rPr>
  </w:style>
  <w:style w:type="character" w:customStyle="1" w:styleId="17">
    <w:name w:val="页脚 字符"/>
    <w:link w:val="5"/>
    <w:qFormat/>
    <w:uiPriority w:val="99"/>
    <w:rPr>
      <w:sz w:val="18"/>
      <w:szCs w:val="18"/>
    </w:rPr>
  </w:style>
  <w:style w:type="character" w:customStyle="1" w:styleId="18">
    <w:name w:val="批注框文本 字符"/>
    <w:link w:val="4"/>
    <w:semiHidden/>
    <w:qFormat/>
    <w:uiPriority w:val="99"/>
    <w:rPr>
      <w:kern w:val="2"/>
      <w:sz w:val="18"/>
      <w:szCs w:val="18"/>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脚注文本 字符"/>
    <w:link w:val="7"/>
    <w:semiHidden/>
    <w:qFormat/>
    <w:uiPriority w:val="99"/>
    <w:rPr>
      <w:rFonts w:ascii="Times New Roman" w:hAnsi="Times New Roman" w:eastAsia="PMingLiU"/>
      <w:kern w:val="2"/>
      <w:lang w:eastAsia="zh-TW"/>
    </w:rPr>
  </w:style>
  <w:style w:type="character" w:customStyle="1" w:styleId="22">
    <w:name w:val="批注文字 字符"/>
    <w:basedOn w:val="11"/>
    <w:link w:val="2"/>
    <w:semiHidden/>
    <w:qFormat/>
    <w:uiPriority w:val="99"/>
    <w:rPr>
      <w:kern w:val="2"/>
      <w:sz w:val="21"/>
      <w:szCs w:val="22"/>
    </w:rPr>
  </w:style>
  <w:style w:type="character" w:customStyle="1" w:styleId="23">
    <w:name w:val="批注主题 字符"/>
    <w:basedOn w:val="22"/>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新日鐵住金株式会社</Company>
  <Pages>1</Pages>
  <Words>90</Words>
  <Characters>513</Characters>
  <Lines>4</Lines>
  <Paragraphs>1</Paragraphs>
  <TotalTime>35</TotalTime>
  <ScaleCrop>false</ScaleCrop>
  <LinksUpToDate>false</LinksUpToDate>
  <CharactersWithSpaces>602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2021-10-29T09:00:00Z</dcterms:created>
  <dc:creator>dell</dc:creator>
  <cp:lastModifiedBy>greatwall</cp:lastModifiedBy>
  <cp:lastPrinted>2017-01-19T07:04:00Z</cp:lastPrinted>
  <dcterms:modified xsi:type="dcterms:W3CDTF">2022-04-01T08:42:50Z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