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经营者集中简易案件公示表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ABB（中国）投资有限公司收购华域智能装备科技有限公司股权案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本次交易涉及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ABB（中国）投资有限公司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ABB中国</w:t>
            </w:r>
            <w:r>
              <w:rPr>
                <w:rFonts w:ascii="Times New Roman" w:hAnsi="Times New Roman" w:eastAsia="仿宋" w:cs="Times New Roman"/>
                <w:b/>
                <w:bCs/>
              </w:rPr>
              <w:t>”</w:t>
            </w:r>
            <w:r>
              <w:rPr>
                <w:rFonts w:ascii="Times New Roman" w:hAnsi="Times New Roman" w:eastAsia="仿宋" w:cs="Times New Roman"/>
              </w:rPr>
              <w:t>）</w:t>
            </w:r>
            <w:r>
              <w:rPr>
                <w:rFonts w:hint="eastAsia" w:ascii="Times New Roman" w:hAnsi="Times New Roman" w:eastAsia="仿宋" w:cs="Times New Roman"/>
              </w:rPr>
              <w:t>以增资扩股的形式来获得华域智能装备科技有限公司</w:t>
            </w:r>
            <w:r>
              <w:rPr>
                <w:rFonts w:ascii="Times New Roman" w:hAnsi="Times New Roman" w:eastAsia="仿宋" w:cs="Times New Roman"/>
              </w:rPr>
              <w:t>（</w:t>
            </w:r>
            <w:r>
              <w:rPr>
                <w:rFonts w:hint="eastAsia" w:ascii="Times New Roman" w:hAnsi="Times New Roman" w:eastAsia="仿宋" w:cs="Times New Roman"/>
              </w:rPr>
              <w:t>“</w:t>
            </w:r>
            <w:r>
              <w:rPr>
                <w:rFonts w:hint="eastAsia" w:ascii="Times New Roman" w:hAnsi="Times New Roman" w:eastAsia="仿宋" w:cs="Times New Roman"/>
                <w:b/>
              </w:rPr>
              <w:t>华域智能</w:t>
            </w:r>
            <w:r>
              <w:rPr>
                <w:rFonts w:hint="eastAsia" w:ascii="Times New Roman" w:hAnsi="Times New Roman" w:eastAsia="仿宋" w:cs="Times New Roman"/>
              </w:rPr>
              <w:t>”）40%的股权</w:t>
            </w:r>
            <w:r>
              <w:rPr>
                <w:rFonts w:ascii="Times New Roman" w:hAnsi="Times New Roman" w:eastAsia="仿宋" w:cs="Times New Roman"/>
              </w:rPr>
              <w:t>。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本次交易前，华域智能是华域汽车系统（上海）有限公司（“</w:t>
            </w:r>
            <w:r>
              <w:rPr>
                <w:rFonts w:hint="eastAsia" w:ascii="Times New Roman" w:hAnsi="Times New Roman" w:eastAsia="仿宋" w:cs="Times New Roman"/>
                <w:b/>
                <w:bCs/>
              </w:rPr>
              <w:t>华域上海</w:t>
            </w:r>
            <w:r>
              <w:rPr>
                <w:rFonts w:hint="eastAsia" w:ascii="Times New Roman" w:hAnsi="Times New Roman" w:eastAsia="仿宋" w:cs="Times New Roman"/>
              </w:rPr>
              <w:t>”）的全资子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</w:rPr>
              <w:t>公司。本交易后，华域智能将由华域上海和A</w:t>
            </w:r>
            <w:r>
              <w:rPr>
                <w:rFonts w:ascii="Times New Roman" w:hAnsi="Times New Roman" w:eastAsia="仿宋" w:cs="Times New Roman"/>
              </w:rPr>
              <w:t>BB</w:t>
            </w:r>
            <w:r>
              <w:rPr>
                <w:rFonts w:hint="eastAsia" w:ascii="Times New Roman" w:hAnsi="Times New Roman" w:eastAsia="仿宋" w:cs="Times New Roman"/>
              </w:rPr>
              <w:t>中国分别持有其6</w:t>
            </w:r>
            <w:r>
              <w:rPr>
                <w:rFonts w:ascii="Times New Roman" w:hAnsi="Times New Roman" w:eastAsia="仿宋" w:cs="Times New Roman"/>
              </w:rPr>
              <w:t>0%</w:t>
            </w:r>
            <w:r>
              <w:rPr>
                <w:rFonts w:hint="eastAsia" w:ascii="Times New Roman" w:hAnsi="Times New Roman" w:eastAsia="仿宋" w:cs="Times New Roman"/>
              </w:rPr>
              <w:t>、4</w:t>
            </w:r>
            <w:r>
              <w:rPr>
                <w:rFonts w:ascii="Times New Roman" w:hAnsi="Times New Roman" w:eastAsia="仿宋" w:cs="Times New Roman"/>
              </w:rPr>
              <w:t>0%</w:t>
            </w:r>
            <w:r>
              <w:rPr>
                <w:rFonts w:hint="eastAsia" w:ascii="Times New Roman" w:hAnsi="Times New Roman" w:eastAsia="仿宋" w:cs="Times New Roman"/>
              </w:rPr>
              <w:t>的股权，即华域智能将由华域上海和A</w:t>
            </w:r>
            <w:r>
              <w:rPr>
                <w:rFonts w:ascii="Times New Roman" w:hAnsi="Times New Roman" w:eastAsia="仿宋" w:cs="Times New Roman"/>
              </w:rPr>
              <w:t>BB</w:t>
            </w:r>
            <w:r>
              <w:rPr>
                <w:rFonts w:hint="eastAsia" w:ascii="Times New Roman" w:hAnsi="Times New Roman" w:eastAsia="仿宋" w:cs="Times New Roman"/>
              </w:rPr>
              <w:t>中国共同控制。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华域上海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5153" w:type="dxa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华域上海于2</w:t>
            </w:r>
            <w:r>
              <w:rPr>
                <w:rFonts w:ascii="Times New Roman" w:hAnsi="Times New Roman" w:eastAsia="仿宋" w:cs="Times New Roman"/>
              </w:rPr>
              <w:t>014</w:t>
            </w:r>
            <w:r>
              <w:rPr>
                <w:rFonts w:hint="eastAsia" w:ascii="Times New Roman" w:hAnsi="Times New Roman" w:eastAsia="仿宋" w:cs="Times New Roman"/>
              </w:rPr>
              <w:t>年在上海成立，主要从事汽车零部件领域内的技术开发、技术转让、技术服务、技术咨询，实业投资、投资咨询（除经纪）、投资管理、仓储（除危险品）、货物及技术的进出口业务。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96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szCs w:val="21"/>
              </w:rPr>
              <w:t>BB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中国</w:t>
            </w:r>
          </w:p>
        </w:tc>
        <w:tc>
          <w:tcPr>
            <w:tcW w:w="5153" w:type="dxa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ABB中国是瑞士A</w:t>
            </w:r>
            <w:r>
              <w:rPr>
                <w:rFonts w:ascii="Times New Roman" w:hAnsi="Times New Roman" w:eastAsia="仿宋" w:cs="Times New Roman"/>
                <w:szCs w:val="21"/>
              </w:rPr>
              <w:t>BB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公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司间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接持股的全资子公司，于2019年在北京成立。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主要从事研发、制造、销售机器人、过程自动化和运动控制等业务。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" w:char="F0FE"/>
            </w:r>
            <w:r>
              <w:rPr>
                <w:rFonts w:ascii="Times New Roman" w:hAnsi="Times New Roman" w:eastAsia="仿宋" w:cs="Times New Roman"/>
                <w:szCs w:val="21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相关市场及市场份额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34"/>
              <w:gridCol w:w="2744"/>
              <w:gridCol w:w="2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4" w:type="dxa"/>
                </w:tcPr>
                <w:p>
                  <w:pPr>
                    <w:jc w:val="center"/>
                    <w:rPr>
                      <w:rFonts w:ascii="仿宋" w:hAnsi="仿宋" w:eastAsia="仿宋" w:cs="Times New Roman"/>
                      <w:sz w:val="22"/>
                    </w:rPr>
                  </w:pPr>
                  <w:r>
                    <w:rPr>
                      <w:rFonts w:ascii="仿宋" w:hAnsi="仿宋" w:eastAsia="仿宋"/>
                      <w:b/>
                      <w:bCs/>
                      <w:sz w:val="22"/>
                    </w:rPr>
                    <w:t>相关商品市场</w:t>
                  </w:r>
                </w:p>
              </w:tc>
              <w:tc>
                <w:tcPr>
                  <w:tcW w:w="2744" w:type="dxa"/>
                </w:tcPr>
                <w:p>
                  <w:pPr>
                    <w:jc w:val="center"/>
                    <w:rPr>
                      <w:rFonts w:ascii="仿宋" w:hAnsi="仿宋" w:eastAsia="仿宋" w:cs="Times New Roman"/>
                      <w:sz w:val="22"/>
                    </w:rPr>
                  </w:pPr>
                  <w:r>
                    <w:rPr>
                      <w:rFonts w:ascii="仿宋" w:hAnsi="仿宋" w:eastAsia="仿宋"/>
                      <w:b/>
                      <w:bCs/>
                      <w:sz w:val="22"/>
                    </w:rPr>
                    <w:t>相关地域市场</w:t>
                  </w:r>
                </w:p>
              </w:tc>
              <w:tc>
                <w:tcPr>
                  <w:tcW w:w="2240" w:type="dxa"/>
                </w:tcPr>
                <w:p>
                  <w:pPr>
                    <w:jc w:val="center"/>
                    <w:rPr>
                      <w:rFonts w:ascii="仿宋" w:hAnsi="仿宋" w:eastAsia="仿宋" w:cs="Times New Roman"/>
                      <w:sz w:val="22"/>
                    </w:rPr>
                  </w:pPr>
                  <w:r>
                    <w:rPr>
                      <w:rFonts w:ascii="仿宋" w:hAnsi="仿宋" w:eastAsia="仿宋"/>
                      <w:b/>
                      <w:bCs/>
                      <w:sz w:val="22"/>
                    </w:rPr>
                    <w:t>市场份额数据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</w:trPr>
              <w:tc>
                <w:tcPr>
                  <w:tcW w:w="1734" w:type="dxa"/>
                </w:tcPr>
                <w:p>
                  <w:pPr>
                    <w:spacing w:line="480" w:lineRule="auto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汽车行业自动化系统集成</w:t>
                  </w:r>
                </w:p>
              </w:tc>
              <w:tc>
                <w:tcPr>
                  <w:tcW w:w="2744" w:type="dxa"/>
                </w:tcPr>
                <w:p>
                  <w:pPr>
                    <w:spacing w:line="480" w:lineRule="auto"/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中国境内</w:t>
                  </w:r>
                </w:p>
              </w:tc>
              <w:tc>
                <w:tcPr>
                  <w:tcW w:w="2240" w:type="dxa"/>
                </w:tcPr>
                <w:p>
                  <w:pPr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华域上海 [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0-5]%</w:t>
                  </w:r>
                </w:p>
                <w:p>
                  <w:pPr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>A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BB</w:t>
                  </w:r>
                  <w:r>
                    <w:rPr>
                      <w:rFonts w:hint="eastAsia" w:ascii="Times New Roman" w:hAnsi="Times New Roman" w:eastAsia="仿宋" w:cs="Times New Roman"/>
                      <w:szCs w:val="21"/>
                    </w:rPr>
                    <w:t xml:space="preserve">中国 </w:t>
                  </w:r>
                  <w:r>
                    <w:rPr>
                      <w:rFonts w:ascii="Times New Roman" w:hAnsi="Times New Roman" w:eastAsia="仿宋" w:cs="Times New Roman"/>
                      <w:szCs w:val="21"/>
                    </w:rPr>
                    <w:t>[10-15]%</w:t>
                  </w:r>
                </w:p>
                <w:p>
                  <w:pPr>
                    <w:jc w:val="center"/>
                    <w:rPr>
                      <w:rFonts w:ascii="Times New Roman" w:hAnsi="Times New Roman" w:eastAsia="仿宋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合计 </w:t>
                  </w:r>
                  <w:r>
                    <w:rPr>
                      <w:rFonts w:ascii="Times New Roman" w:hAnsi="Times New Roman" w:eastAsia="仿宋" w:cs="Times New Roman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[10-15]%</w:t>
                  </w:r>
                </w:p>
              </w:tc>
            </w:tr>
          </w:tbl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Cs w:val="21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50DCC"/>
    <w:multiLevelType w:val="multilevel"/>
    <w:tmpl w:val="53650D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sDA1NzS0MDQ0MzVV0lEKTi0uzszPAykwrgUALhK6ZCwAAAA="/>
  </w:docVars>
  <w:rsids>
    <w:rsidRoot w:val="009F76E6"/>
    <w:rsid w:val="00003D29"/>
    <w:rsid w:val="0000442A"/>
    <w:rsid w:val="000616C2"/>
    <w:rsid w:val="000725D4"/>
    <w:rsid w:val="000738E8"/>
    <w:rsid w:val="000A5F74"/>
    <w:rsid w:val="000E7BBF"/>
    <w:rsid w:val="000F1E8C"/>
    <w:rsid w:val="001329B2"/>
    <w:rsid w:val="00153525"/>
    <w:rsid w:val="0018045F"/>
    <w:rsid w:val="001A064E"/>
    <w:rsid w:val="001B367C"/>
    <w:rsid w:val="001F354C"/>
    <w:rsid w:val="001F6C72"/>
    <w:rsid w:val="00221FE3"/>
    <w:rsid w:val="00271168"/>
    <w:rsid w:val="00297D10"/>
    <w:rsid w:val="002B4820"/>
    <w:rsid w:val="00302B56"/>
    <w:rsid w:val="003214D0"/>
    <w:rsid w:val="00341E42"/>
    <w:rsid w:val="003636A1"/>
    <w:rsid w:val="003737C9"/>
    <w:rsid w:val="003745D0"/>
    <w:rsid w:val="003966A7"/>
    <w:rsid w:val="003A144D"/>
    <w:rsid w:val="003B603A"/>
    <w:rsid w:val="003C69E4"/>
    <w:rsid w:val="003D483E"/>
    <w:rsid w:val="003E7104"/>
    <w:rsid w:val="003F7EF9"/>
    <w:rsid w:val="0042481C"/>
    <w:rsid w:val="0043644F"/>
    <w:rsid w:val="00442E94"/>
    <w:rsid w:val="00446BD7"/>
    <w:rsid w:val="00493E25"/>
    <w:rsid w:val="004D1C21"/>
    <w:rsid w:val="004D49CE"/>
    <w:rsid w:val="004F7678"/>
    <w:rsid w:val="00502B0A"/>
    <w:rsid w:val="00523447"/>
    <w:rsid w:val="00524010"/>
    <w:rsid w:val="0053354E"/>
    <w:rsid w:val="00540DD7"/>
    <w:rsid w:val="00564E5B"/>
    <w:rsid w:val="005B2307"/>
    <w:rsid w:val="005F653C"/>
    <w:rsid w:val="0060676A"/>
    <w:rsid w:val="00635CCF"/>
    <w:rsid w:val="00694727"/>
    <w:rsid w:val="006C7BBA"/>
    <w:rsid w:val="006D06B6"/>
    <w:rsid w:val="006E7EB6"/>
    <w:rsid w:val="00714A1A"/>
    <w:rsid w:val="00720206"/>
    <w:rsid w:val="00722D69"/>
    <w:rsid w:val="00741064"/>
    <w:rsid w:val="00770F30"/>
    <w:rsid w:val="007E11F6"/>
    <w:rsid w:val="007F0D41"/>
    <w:rsid w:val="00801D23"/>
    <w:rsid w:val="00851030"/>
    <w:rsid w:val="0085229C"/>
    <w:rsid w:val="00866B45"/>
    <w:rsid w:val="00867EAB"/>
    <w:rsid w:val="00883648"/>
    <w:rsid w:val="008918C7"/>
    <w:rsid w:val="00897642"/>
    <w:rsid w:val="00936065"/>
    <w:rsid w:val="00955561"/>
    <w:rsid w:val="00962981"/>
    <w:rsid w:val="00967EF7"/>
    <w:rsid w:val="009B7818"/>
    <w:rsid w:val="009C2A13"/>
    <w:rsid w:val="009D41BB"/>
    <w:rsid w:val="009F705B"/>
    <w:rsid w:val="009F76E6"/>
    <w:rsid w:val="00A15FC8"/>
    <w:rsid w:val="00A23E59"/>
    <w:rsid w:val="00A6335D"/>
    <w:rsid w:val="00AA622E"/>
    <w:rsid w:val="00AC03B4"/>
    <w:rsid w:val="00AE25D4"/>
    <w:rsid w:val="00AF6D3B"/>
    <w:rsid w:val="00B01844"/>
    <w:rsid w:val="00B24F86"/>
    <w:rsid w:val="00B26275"/>
    <w:rsid w:val="00B3621D"/>
    <w:rsid w:val="00B9504A"/>
    <w:rsid w:val="00BA2A0F"/>
    <w:rsid w:val="00BD1EB5"/>
    <w:rsid w:val="00C14844"/>
    <w:rsid w:val="00C22FBB"/>
    <w:rsid w:val="00C4611C"/>
    <w:rsid w:val="00C76301"/>
    <w:rsid w:val="00CD2B83"/>
    <w:rsid w:val="00CE2AD9"/>
    <w:rsid w:val="00CE41B2"/>
    <w:rsid w:val="00CE5148"/>
    <w:rsid w:val="00CE76BA"/>
    <w:rsid w:val="00D05FAC"/>
    <w:rsid w:val="00D1014B"/>
    <w:rsid w:val="00DB0D46"/>
    <w:rsid w:val="00DB1A28"/>
    <w:rsid w:val="00DC05F1"/>
    <w:rsid w:val="00DC7C35"/>
    <w:rsid w:val="00DC7E4E"/>
    <w:rsid w:val="00E078DB"/>
    <w:rsid w:val="00E10A74"/>
    <w:rsid w:val="00E215EB"/>
    <w:rsid w:val="00E324A6"/>
    <w:rsid w:val="00E346A4"/>
    <w:rsid w:val="00E50AF6"/>
    <w:rsid w:val="00E6194B"/>
    <w:rsid w:val="00E75685"/>
    <w:rsid w:val="00EC6D06"/>
    <w:rsid w:val="00F5276B"/>
    <w:rsid w:val="00F82254"/>
    <w:rsid w:val="00F86C79"/>
    <w:rsid w:val="00F929D0"/>
    <w:rsid w:val="00FA0E91"/>
    <w:rsid w:val="00FA17C4"/>
    <w:rsid w:val="00FA336E"/>
    <w:rsid w:val="45D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頁首 字元"/>
    <w:basedOn w:val="7"/>
    <w:link w:val="4"/>
    <w:uiPriority w:val="99"/>
    <w:rPr>
      <w:sz w:val="18"/>
      <w:szCs w:val="18"/>
    </w:rPr>
  </w:style>
  <w:style w:type="character" w:customStyle="1" w:styleId="10">
    <w:name w:val="頁尾 字元"/>
    <w:basedOn w:val="7"/>
    <w:link w:val="3"/>
    <w:uiPriority w:val="99"/>
    <w:rPr>
      <w:sz w:val="18"/>
      <w:szCs w:val="18"/>
    </w:rPr>
  </w:style>
  <w:style w:type="character" w:customStyle="1" w:styleId="11">
    <w:name w:val="註解方塊文字 字元"/>
    <w:basedOn w:val="7"/>
    <w:link w:val="2"/>
    <w:semiHidden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1049</Characters>
  <Lines>8</Lines>
  <Paragraphs>2</Paragraphs>
  <TotalTime>1</TotalTime>
  <ScaleCrop>false</ScaleCrop>
  <LinksUpToDate>false</LinksUpToDate>
  <CharactersWithSpaces>1231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2021-11-25T02:47:00Z</dcterms:created>
  <dc:creator>Microsoft</dc:creator>
  <cp:lastModifiedBy>常亮</cp:lastModifiedBy>
  <dcterms:modified xsi:type="dcterms:W3CDTF">2022-03-30T00:42:52Z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