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jc w:val="center"/>
        <w:rPr>
          <w:rFonts w:ascii="黑体" w:hAnsi="Times New Roman" w:eastAsia="黑体"/>
          <w:sz w:val="30"/>
          <w:szCs w:val="30"/>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案件名称</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浙江华友钴业股份有限公司收购湖北兴友新能源科技有限公司股权案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浙江华友钴业股份有限公司（简称“华友钴业”）拟以增资的方式，取得湖北兴发化工集团股份有限公司（简称“湖北兴发”）的全资子公司湖北兴友新能源科技有限公司（简称“湖北兴友”）49%股权，湖北兴友拟从事</w:t>
            </w:r>
            <w:r>
              <w:rPr>
                <w:rFonts w:hint="eastAsia" w:ascii="仿宋" w:hAnsi="仿宋" w:eastAsia="仿宋" w:cs="宋体"/>
                <w:color w:val="333333"/>
                <w:kern w:val="0"/>
                <w:sz w:val="24"/>
                <w:szCs w:val="24"/>
                <w:lang w:eastAsia="zh-CN"/>
              </w:rPr>
              <w:t>磷酸铁</w:t>
            </w:r>
            <w:bookmarkStart w:id="0" w:name="_GoBack"/>
            <w:bookmarkEnd w:id="0"/>
            <w:r>
              <w:rPr>
                <w:rFonts w:hint="eastAsia" w:ascii="仿宋" w:hAnsi="仿宋" w:eastAsia="仿宋" w:cs="宋体"/>
                <w:color w:val="333333"/>
                <w:kern w:val="0"/>
                <w:sz w:val="24"/>
                <w:szCs w:val="24"/>
              </w:rPr>
              <w:t>研发、制造、销售业务。本次交易后，华友钴业和湖北兴发分别持有湖北兴友49%和51%股权，共同控制湖北兴友。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b/>
                <w:bCs/>
                <w:color w:val="333333"/>
                <w:kern w:val="0"/>
                <w:sz w:val="24"/>
                <w:szCs w:val="24"/>
              </w:rPr>
              <w:t>经营者简介</w:t>
            </w:r>
          </w:p>
        </w:tc>
        <w:tc>
          <w:tcPr>
            <w:tcW w:w="1796" w:type="dxa"/>
            <w:vAlign w:val="center"/>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浙江华友钴业股份有限公司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华友钴业于2002年5月2</w:t>
            </w:r>
            <w:r>
              <w:rPr>
                <w:rFonts w:ascii="仿宋" w:hAnsi="仿宋" w:eastAsia="仿宋" w:cs="宋体"/>
                <w:color w:val="333333"/>
                <w:kern w:val="0"/>
                <w:sz w:val="24"/>
                <w:szCs w:val="24"/>
              </w:rPr>
              <w:t>2</w:t>
            </w:r>
            <w:r>
              <w:rPr>
                <w:rFonts w:hint="eastAsia" w:ascii="仿宋" w:hAnsi="仿宋" w:eastAsia="仿宋" w:cs="宋体"/>
                <w:color w:val="333333"/>
                <w:kern w:val="0"/>
                <w:sz w:val="24"/>
                <w:szCs w:val="24"/>
              </w:rPr>
              <w:t>日在中国浙江省桐乡市注册成立，在全球范围和中国境内主要从事锂电新能源材料的制造、钴新材料产品的深加工及钴、铜有色金属采、选、冶的业务。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vAlign w:val="center"/>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湖北兴发化工集团股份有限公司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湖北兴发于1994年8月17日在中国湖北省宜昌市注册成立，在中国境内主要从事磷化工系列产品和精细化工产品的开发、生产和销售。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b/>
                <w:bCs/>
                <w:color w:val="333333"/>
                <w:kern w:val="0"/>
                <w:sz w:val="24"/>
                <w:szCs w:val="24"/>
              </w:rPr>
              <w:t>简易案件理由</w:t>
            </w:r>
            <w:r>
              <w:rPr>
                <w:rFonts w:hint="eastAsia" w:ascii="仿宋" w:hAnsi="仿宋" w:eastAsia="仿宋" w:cs="宋体"/>
                <w:color w:val="333333"/>
                <w:kern w:val="0"/>
                <w:sz w:val="24"/>
                <w:szCs w:val="24"/>
              </w:rPr>
              <w:t>（可以单选，也可以多选）</w:t>
            </w:r>
          </w:p>
        </w:tc>
        <w:tc>
          <w:tcPr>
            <w:tcW w:w="6949" w:type="dxa"/>
            <w:gridSpan w:val="2"/>
          </w:tcPr>
          <w:p>
            <w:pPr>
              <w:spacing w:line="500" w:lineRule="exact"/>
              <w:rPr>
                <w:rFonts w:ascii="仿宋" w:hAnsi="仿宋" w:eastAsia="仿宋" w:cs="宋体"/>
                <w:color w:val="333333"/>
                <w:kern w:val="0"/>
                <w:sz w:val="24"/>
                <w:szCs w:val="24"/>
                <w:highlight w:val="yellow"/>
              </w:rPr>
            </w:pP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highlight w:val="yellow"/>
              </w:rPr>
            </w:pPr>
            <w:r>
              <w:rPr>
                <w:rFonts w:hint="eastAsia" w:ascii="仿宋" w:hAnsi="仿宋" w:eastAsia="仿宋" w:cs="宋体"/>
                <w:color w:val="333333"/>
                <w:kern w:val="0"/>
                <w:sz w:val="24"/>
                <w:szCs w:val="24"/>
              </w:rPr>
              <w:sym w:font="Wingdings 2" w:char="F052"/>
            </w: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备注</w:t>
            </w:r>
          </w:p>
        </w:tc>
        <w:tc>
          <w:tcPr>
            <w:tcW w:w="6949" w:type="dxa"/>
            <w:gridSpan w:val="2"/>
          </w:tcPr>
          <w:p>
            <w:pPr>
              <w:spacing w:line="500" w:lineRule="exac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1</w:t>
            </w:r>
            <w:r>
              <w:rPr>
                <w:rFonts w:ascii="仿宋" w:hAnsi="仿宋" w:eastAsia="仿宋" w:cs="宋体"/>
                <w:b/>
                <w:bCs/>
                <w:color w:val="333333"/>
                <w:kern w:val="0"/>
                <w:sz w:val="24"/>
                <w:szCs w:val="24"/>
              </w:rPr>
              <w:t>.</w:t>
            </w:r>
            <w:r>
              <w:rPr>
                <w:rFonts w:hint="eastAsia" w:ascii="仿宋" w:hAnsi="仿宋" w:eastAsia="仿宋" w:cs="宋体"/>
                <w:b/>
                <w:bCs/>
                <w:color w:val="333333"/>
                <w:kern w:val="0"/>
                <w:sz w:val="24"/>
                <w:szCs w:val="24"/>
              </w:rPr>
              <w:t>本次集中涉及的相关市场为：</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中国境内磷酸铁市场、中国境内磷酸铁锂市场</w:t>
            </w:r>
          </w:p>
          <w:p>
            <w:pPr>
              <w:spacing w:line="500" w:lineRule="exact"/>
              <w:rPr>
                <w:rFonts w:ascii="仿宋" w:hAnsi="仿宋" w:eastAsia="仿宋" w:cs="宋体"/>
                <w:color w:val="333333"/>
                <w:kern w:val="0"/>
                <w:sz w:val="24"/>
                <w:szCs w:val="24"/>
              </w:rPr>
            </w:pPr>
          </w:p>
          <w:p>
            <w:pPr>
              <w:spacing w:line="500" w:lineRule="exact"/>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2</w:t>
            </w:r>
            <w:r>
              <w:rPr>
                <w:rFonts w:ascii="仿宋" w:hAnsi="仿宋" w:eastAsia="仿宋" w:cs="宋体"/>
                <w:b/>
                <w:bCs/>
                <w:color w:val="333333"/>
                <w:kern w:val="0"/>
                <w:sz w:val="24"/>
                <w:szCs w:val="24"/>
              </w:rPr>
              <w:t>.</w:t>
            </w:r>
            <w:r>
              <w:rPr>
                <w:rFonts w:hint="eastAsia" w:ascii="仿宋" w:hAnsi="仿宋" w:eastAsia="仿宋" w:cs="宋体"/>
                <w:b/>
                <w:bCs/>
                <w:color w:val="333333"/>
                <w:kern w:val="0"/>
                <w:sz w:val="24"/>
                <w:szCs w:val="24"/>
              </w:rPr>
              <w:t>参与集中的经营者在相关市场的市场份额（未来预估）分别为：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1664"/>
              <w:gridCol w:w="166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相关市场</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华友钴业</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湖北兴发</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湖北兴友</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（未来预估）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中国境内磷酸铁市场</w:t>
                  </w:r>
                  <w:r>
                    <w:rPr>
                      <w:rFonts w:hint="eastAsia" w:ascii="仿宋" w:hAnsi="仿宋" w:eastAsia="仿宋" w:cs="宋体"/>
                      <w:color w:val="333333"/>
                      <w:kern w:val="0"/>
                      <w:sz w:val="24"/>
                      <w:szCs w:val="24"/>
                    </w:rPr>
                    <w:tab/>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0]%</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0]%</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0</w:t>
                  </w: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中国境内磷酸铁锂市场</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0-5]%</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0]%</w:t>
                  </w:r>
                </w:p>
              </w:tc>
              <w:tc>
                <w:tcPr>
                  <w:tcW w:w="1664" w:type="dxa"/>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w:t>
                  </w:r>
                  <w:r>
                    <w:rPr>
                      <w:rFonts w:ascii="仿宋" w:hAnsi="仿宋" w:eastAsia="仿宋" w:cs="宋体"/>
                      <w:color w:val="333333"/>
                      <w:kern w:val="0"/>
                      <w:sz w:val="24"/>
                      <w:szCs w:val="24"/>
                    </w:rPr>
                    <w:t>0]%</w:t>
                  </w:r>
                </w:p>
              </w:tc>
            </w:tr>
          </w:tbl>
          <w:p>
            <w:pPr>
              <w:spacing w:line="500" w:lineRule="exact"/>
              <w:rPr>
                <w:rFonts w:ascii="仿宋" w:hAnsi="仿宋" w:eastAsia="仿宋" w:cs="宋体"/>
                <w:b/>
                <w:bCs/>
                <w:color w:val="333333"/>
                <w:kern w:val="0"/>
                <w:sz w:val="24"/>
                <w:szCs w:val="24"/>
              </w:rPr>
            </w:pPr>
          </w:p>
        </w:tc>
      </w:tr>
    </w:tbl>
    <w:p>
      <w:pPr>
        <w:spacing w:line="360" w:lineRule="auto"/>
        <w:rPr>
          <w:rFonts w:ascii="方正仿宋_GBK" w:hAnsi="Times New Roman" w:eastAsia="方正仿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0DF"/>
    <w:rsid w:val="00017279"/>
    <w:rsid w:val="00037065"/>
    <w:rsid w:val="00042952"/>
    <w:rsid w:val="000511F8"/>
    <w:rsid w:val="000559FB"/>
    <w:rsid w:val="00057798"/>
    <w:rsid w:val="000647AE"/>
    <w:rsid w:val="000B133E"/>
    <w:rsid w:val="000D7EBA"/>
    <w:rsid w:val="000F0B39"/>
    <w:rsid w:val="001164CD"/>
    <w:rsid w:val="00155085"/>
    <w:rsid w:val="00155717"/>
    <w:rsid w:val="001837A3"/>
    <w:rsid w:val="001D7534"/>
    <w:rsid w:val="001F7F6A"/>
    <w:rsid w:val="00215421"/>
    <w:rsid w:val="00233BFA"/>
    <w:rsid w:val="00235A7A"/>
    <w:rsid w:val="00236EF3"/>
    <w:rsid w:val="0024605A"/>
    <w:rsid w:val="00255FB9"/>
    <w:rsid w:val="00277885"/>
    <w:rsid w:val="002828A8"/>
    <w:rsid w:val="002D6CFC"/>
    <w:rsid w:val="00301F41"/>
    <w:rsid w:val="0031243B"/>
    <w:rsid w:val="00317C78"/>
    <w:rsid w:val="003378AD"/>
    <w:rsid w:val="003665AA"/>
    <w:rsid w:val="003C0AEB"/>
    <w:rsid w:val="003C2102"/>
    <w:rsid w:val="003C509F"/>
    <w:rsid w:val="003D3006"/>
    <w:rsid w:val="004030D5"/>
    <w:rsid w:val="00417DB7"/>
    <w:rsid w:val="0044449B"/>
    <w:rsid w:val="004548B2"/>
    <w:rsid w:val="00461420"/>
    <w:rsid w:val="004842B5"/>
    <w:rsid w:val="004A13C0"/>
    <w:rsid w:val="004B591B"/>
    <w:rsid w:val="004F73DF"/>
    <w:rsid w:val="004F7688"/>
    <w:rsid w:val="00502F8D"/>
    <w:rsid w:val="005202F0"/>
    <w:rsid w:val="005213F4"/>
    <w:rsid w:val="00526CFD"/>
    <w:rsid w:val="00527D16"/>
    <w:rsid w:val="00530483"/>
    <w:rsid w:val="005327DD"/>
    <w:rsid w:val="00536FA5"/>
    <w:rsid w:val="005558DB"/>
    <w:rsid w:val="005601B7"/>
    <w:rsid w:val="00582F87"/>
    <w:rsid w:val="005A12CA"/>
    <w:rsid w:val="005C546C"/>
    <w:rsid w:val="005F56D6"/>
    <w:rsid w:val="00613424"/>
    <w:rsid w:val="0063045E"/>
    <w:rsid w:val="006306C6"/>
    <w:rsid w:val="006339EF"/>
    <w:rsid w:val="006467D8"/>
    <w:rsid w:val="00673F8F"/>
    <w:rsid w:val="00692405"/>
    <w:rsid w:val="006961C9"/>
    <w:rsid w:val="006A531B"/>
    <w:rsid w:val="006F7693"/>
    <w:rsid w:val="00710140"/>
    <w:rsid w:val="007176A2"/>
    <w:rsid w:val="0076476E"/>
    <w:rsid w:val="007739AA"/>
    <w:rsid w:val="007779BE"/>
    <w:rsid w:val="0079288A"/>
    <w:rsid w:val="007C0246"/>
    <w:rsid w:val="007D480D"/>
    <w:rsid w:val="007D7835"/>
    <w:rsid w:val="007F2275"/>
    <w:rsid w:val="00801E17"/>
    <w:rsid w:val="00877A39"/>
    <w:rsid w:val="008827F0"/>
    <w:rsid w:val="008A41B8"/>
    <w:rsid w:val="008C6D64"/>
    <w:rsid w:val="008C7D22"/>
    <w:rsid w:val="008D6DAD"/>
    <w:rsid w:val="008E0C20"/>
    <w:rsid w:val="008E2DFB"/>
    <w:rsid w:val="008E4680"/>
    <w:rsid w:val="009053DE"/>
    <w:rsid w:val="00915F0F"/>
    <w:rsid w:val="0093146F"/>
    <w:rsid w:val="009353EE"/>
    <w:rsid w:val="00952A2B"/>
    <w:rsid w:val="009532DF"/>
    <w:rsid w:val="00967427"/>
    <w:rsid w:val="00993EC7"/>
    <w:rsid w:val="00997019"/>
    <w:rsid w:val="009A5029"/>
    <w:rsid w:val="009A7990"/>
    <w:rsid w:val="009D38D5"/>
    <w:rsid w:val="009D53D2"/>
    <w:rsid w:val="00A06B32"/>
    <w:rsid w:val="00A142FF"/>
    <w:rsid w:val="00A53F26"/>
    <w:rsid w:val="00A55993"/>
    <w:rsid w:val="00A62E8B"/>
    <w:rsid w:val="00A72288"/>
    <w:rsid w:val="00AA0CC5"/>
    <w:rsid w:val="00AB288F"/>
    <w:rsid w:val="00AC7FCC"/>
    <w:rsid w:val="00AF5408"/>
    <w:rsid w:val="00B12938"/>
    <w:rsid w:val="00B16AFE"/>
    <w:rsid w:val="00B65DD5"/>
    <w:rsid w:val="00B80C3F"/>
    <w:rsid w:val="00BA7300"/>
    <w:rsid w:val="00BD0FCB"/>
    <w:rsid w:val="00BD10B6"/>
    <w:rsid w:val="00BF2C0B"/>
    <w:rsid w:val="00BF620D"/>
    <w:rsid w:val="00C07076"/>
    <w:rsid w:val="00C27C16"/>
    <w:rsid w:val="00C577D7"/>
    <w:rsid w:val="00CB00DF"/>
    <w:rsid w:val="00CB5CB1"/>
    <w:rsid w:val="00CC60FD"/>
    <w:rsid w:val="00CF5BAC"/>
    <w:rsid w:val="00CF6297"/>
    <w:rsid w:val="00D01EFF"/>
    <w:rsid w:val="00D27543"/>
    <w:rsid w:val="00D27AAE"/>
    <w:rsid w:val="00D50E78"/>
    <w:rsid w:val="00D73C72"/>
    <w:rsid w:val="00D77465"/>
    <w:rsid w:val="00DE2170"/>
    <w:rsid w:val="00DE7C5A"/>
    <w:rsid w:val="00E05269"/>
    <w:rsid w:val="00E0592B"/>
    <w:rsid w:val="00E31738"/>
    <w:rsid w:val="00E423C7"/>
    <w:rsid w:val="00E63A33"/>
    <w:rsid w:val="00E86786"/>
    <w:rsid w:val="00EB5209"/>
    <w:rsid w:val="00ED2F80"/>
    <w:rsid w:val="00ED422D"/>
    <w:rsid w:val="00EE2B09"/>
    <w:rsid w:val="00F11CFE"/>
    <w:rsid w:val="00F1624E"/>
    <w:rsid w:val="00F20AD1"/>
    <w:rsid w:val="00F320AD"/>
    <w:rsid w:val="00F32F8A"/>
    <w:rsid w:val="00F810AA"/>
    <w:rsid w:val="00FB43EC"/>
    <w:rsid w:val="00FB6B40"/>
    <w:rsid w:val="38AB1A83"/>
    <w:rsid w:val="7C2537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rFonts w:ascii="Calibri" w:hAnsi="Calibri" w:eastAsia="宋体" w:cs="Times New Roman"/>
      <w:sz w:val="18"/>
      <w:szCs w:val="18"/>
    </w:rPr>
  </w:style>
  <w:style w:type="character" w:customStyle="1" w:styleId="8">
    <w:name w:val="页脚 字符"/>
    <w:basedOn w:val="6"/>
    <w:link w:val="2"/>
    <w:uiPriority w:val="99"/>
    <w:rPr>
      <w:rFonts w:ascii="Calibri" w:hAnsi="Calibri" w:eastAsia="宋体" w:cs="Times New Roman"/>
      <w:sz w:val="18"/>
      <w:szCs w:val="18"/>
    </w:rPr>
  </w:style>
  <w:style w:type="character" w:styleId="9">
    <w:name w:val="Placeholder Text"/>
    <w:basedOn w:val="6"/>
    <w:semiHidden/>
    <w:uiPriority w:val="99"/>
    <w:rPr>
      <w:color w:val="808080"/>
    </w:rPr>
  </w:style>
  <w:style w:type="paragraph" w:styleId="10">
    <w:name w:val="List Paragraph"/>
    <w:basedOn w:val="1"/>
    <w:qFormat/>
    <w:uiPriority w:val="34"/>
    <w:pPr>
      <w:ind w:firstLine="420" w:firstLineChars="200"/>
    </w:pPr>
  </w:style>
  <w:style w:type="paragraph" w:customStyle="1" w:styleId="11">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Lines>6</Lines>
  <Paragraphs>1</Paragraphs>
  <TotalTime>42</TotalTime>
  <ScaleCrop>false</ScaleCrop>
  <LinksUpToDate>false</LinksUpToDate>
  <CharactersWithSpaces>866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2018-09-29T02:33:00Z</dcterms:created>
  <dc:creator>陈媚</dc:creator>
  <cp:lastModifiedBy>杨钧翰</cp:lastModifiedBy>
  <dcterms:modified xsi:type="dcterms:W3CDTF">2022-02-18T03:35:32Z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F3E75BBA4FB54C5FBC084967B281D87C</vt:lpwstr>
  </property>
</Properties>
</file>