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经营者集中简易案件公示表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866"/>
        <w:gridCol w:w="4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51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156" w:afterLines="50" w:line="276" w:lineRule="auto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润楹物业科技服务有限公司收购禹洲物业服务有限公司股权案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交易概况（限200字内）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156" w:afterLines="50" w:line="276" w:lineRule="auto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润楹物业科技服务有限公司（“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”）和天津禹佳生活服务有限公司（“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天津禹佳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”）签署的《股权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收购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框架协议》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润楹物业将从天津禹佳处收购其所持有的禹洲物业服务有限公司（“</w:t>
            </w:r>
            <w:r>
              <w:rPr>
                <w:rFonts w:hint="eastAsia"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目标公司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”）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股权（“</w:t>
            </w:r>
            <w:r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拟议交易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”）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。拟议交易后，目标公司将由润楹物业单独控制。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8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参与集中的经营者简介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firstLineChars="0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</w:t>
            </w:r>
          </w:p>
        </w:tc>
        <w:tc>
          <w:tcPr>
            <w:tcW w:w="4933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276" w:lineRule="auto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润楹物业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于2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017年8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5日成立于中国深圳市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，其隶属于华润置地有限公司，后者是华润集团旗下从事城市建设与运营板块业务的公司，具体业务包括住宅开发、商业地产和城市更新、物业服务、文体教育等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firstLineChars="0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目标公司</w:t>
            </w:r>
          </w:p>
        </w:tc>
        <w:tc>
          <w:tcPr>
            <w:tcW w:w="4933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276" w:lineRule="auto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目标公司于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1997年5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22日成立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于中国厦门市</w:t>
            </w:r>
            <w: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，目标公司仅在中国境内开展业务活动，其主营业务为住宅物业管理服务。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tabs>
                <w:tab w:val="left" w:pos="350"/>
              </w:tabs>
              <w:spacing w:after="0" w:line="240" w:lineRule="auto"/>
              <w:ind w:right="20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" w:char="F0FE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" w:char="F0FE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</w:rPr>
              <w:sym w:font="Wingdings" w:char="F0A8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</w:rPr>
              <w:sym w:font="Wingdings" w:char="F0A8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</w:rPr>
              <w:sym w:font="Wingdings" w:char="F0A8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 w:cs="Arial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Arial"/>
                <w:sz w:val="21"/>
                <w:szCs w:val="21"/>
              </w:rPr>
              <w:sym w:font="Wingdings" w:char="F0A8"/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518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379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横向重叠市场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：住宅物业管理服务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相关地域市场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合肥市、厦门市、福州市、上海市、苏州市、天津市、南京市、杭州市、扬州市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沈阳市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、武汉市、徐州市、唐山市、重庆市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市场份额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</w:t>
            </w:r>
          </w:p>
          <w:tbl>
            <w:tblPr>
              <w:tblStyle w:val="6"/>
              <w:tblW w:w="62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"/>
              <w:gridCol w:w="53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城市</w:t>
                  </w:r>
                </w:p>
              </w:tc>
              <w:tc>
                <w:tcPr>
                  <w:tcW w:w="5387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市场份额数据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合肥市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5-10%]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厦门市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福州市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上海市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苏州市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天津市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南京市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杭州市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扬州市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沈阳市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武汉市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徐州市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唐山市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重庆市</w:t>
                  </w:r>
                </w:p>
              </w:tc>
              <w:tc>
                <w:tcPr>
                  <w:tcW w:w="5387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目标公司：[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 xml:space="preserve">0-5%] 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双方合计：[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</w:tbl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纵向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关系市场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：商品住宅开发和销售（住宅物业管理服务的上游市场）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相关地域市场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：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合肥市、厦门市、福州市、上海市、苏州市、天津市、南京市、杭州市、扬州市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  <w:lang w:eastAsia="zh-CN"/>
              </w:rPr>
              <w:t>沈阳市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、武汉市、徐州市、唐山市、重庆市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市场份额：</w:t>
            </w:r>
          </w:p>
          <w:tbl>
            <w:tblPr>
              <w:tblStyle w:val="6"/>
              <w:tblW w:w="325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"/>
              <w:gridCol w:w="23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城市</w:t>
                  </w:r>
                </w:p>
              </w:tc>
              <w:tc>
                <w:tcPr>
                  <w:tcW w:w="2351" w:type="dxa"/>
                  <w:shd w:val="clear" w:color="auto" w:fill="D8D8D8" w:themeFill="background1" w:themeFillShade="D9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市场份额数据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合肥市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厦门市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5-10%]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福州市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上海市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苏州市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天津市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南京市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杭州市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扬州市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沈阳市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5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-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10%]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武汉市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徐州市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唐山市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08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重庆市</w:t>
                  </w:r>
                </w:p>
              </w:tc>
              <w:tc>
                <w:tcPr>
                  <w:tcW w:w="2351" w:type="dxa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润楹物业</w:t>
                  </w:r>
                  <w:r>
                    <w:rPr>
                      <w:rFonts w:hint="eastAsia" w:ascii="仿宋" w:hAnsi="仿宋" w:eastAsia="仿宋"/>
                      <w:sz w:val="21"/>
                      <w:szCs w:val="21"/>
                      <w:lang w:eastAsia="zh-CN"/>
                    </w:rPr>
                    <w:t>：[</w:t>
                  </w:r>
                  <w:r>
                    <w:rPr>
                      <w:rFonts w:ascii="仿宋" w:hAnsi="仿宋" w:eastAsia="仿宋"/>
                      <w:sz w:val="21"/>
                      <w:szCs w:val="21"/>
                      <w:lang w:eastAsia="zh-CN"/>
                    </w:rPr>
                    <w:t>0-5%]</w:t>
                  </w:r>
                </w:p>
              </w:tc>
            </w:tr>
          </w:tbl>
          <w:p>
            <w:pPr>
              <w:adjustRightInd w:val="0"/>
              <w:snapToGrid w:val="0"/>
              <w:spacing w:after="0" w:line="240" w:lineRule="auto"/>
              <w:jc w:val="both"/>
              <w:rPr>
                <w:rFonts w:ascii="仿宋" w:hAnsi="仿宋" w:eastAsia="仿宋" w:cs="Arial"/>
                <w:szCs w:val="21"/>
                <w:lang w:eastAsia="zh-CN"/>
              </w:rPr>
            </w:pPr>
          </w:p>
        </w:tc>
      </w:tr>
    </w:tbl>
    <w:p>
      <w:pPr>
        <w:rPr>
          <w:rFonts w:ascii="Times New Roman" w:hAnsi="Times New Roman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IDFont+F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87CFB"/>
    <w:multiLevelType w:val="multilevel"/>
    <w:tmpl w:val="53687C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B"/>
    <w:rsid w:val="000558C1"/>
    <w:rsid w:val="000A372E"/>
    <w:rsid w:val="000C4BF5"/>
    <w:rsid w:val="000E4ACB"/>
    <w:rsid w:val="000F7FD1"/>
    <w:rsid w:val="00125CFE"/>
    <w:rsid w:val="001A7A3E"/>
    <w:rsid w:val="001D46C0"/>
    <w:rsid w:val="0021559F"/>
    <w:rsid w:val="00251E4B"/>
    <w:rsid w:val="002615DE"/>
    <w:rsid w:val="002A545B"/>
    <w:rsid w:val="002D5DA6"/>
    <w:rsid w:val="002E1B98"/>
    <w:rsid w:val="0031237A"/>
    <w:rsid w:val="00325A5C"/>
    <w:rsid w:val="0033045C"/>
    <w:rsid w:val="003908C5"/>
    <w:rsid w:val="003B02AF"/>
    <w:rsid w:val="003B1715"/>
    <w:rsid w:val="003B5CB4"/>
    <w:rsid w:val="00407A6F"/>
    <w:rsid w:val="00450030"/>
    <w:rsid w:val="00465206"/>
    <w:rsid w:val="0048514D"/>
    <w:rsid w:val="004E585E"/>
    <w:rsid w:val="004E6B00"/>
    <w:rsid w:val="00523F46"/>
    <w:rsid w:val="00532F43"/>
    <w:rsid w:val="00573FD4"/>
    <w:rsid w:val="0066706E"/>
    <w:rsid w:val="006820D1"/>
    <w:rsid w:val="00781511"/>
    <w:rsid w:val="007A4DAE"/>
    <w:rsid w:val="007D57EC"/>
    <w:rsid w:val="00931979"/>
    <w:rsid w:val="00944C9D"/>
    <w:rsid w:val="009470ED"/>
    <w:rsid w:val="0096510D"/>
    <w:rsid w:val="00A62945"/>
    <w:rsid w:val="00AD6C2B"/>
    <w:rsid w:val="00B226E5"/>
    <w:rsid w:val="00B50A96"/>
    <w:rsid w:val="00BC5690"/>
    <w:rsid w:val="00BE45F7"/>
    <w:rsid w:val="00C72855"/>
    <w:rsid w:val="00C95EC3"/>
    <w:rsid w:val="00CA782A"/>
    <w:rsid w:val="00D05619"/>
    <w:rsid w:val="00D7404B"/>
    <w:rsid w:val="00D902B6"/>
    <w:rsid w:val="00EA3FED"/>
    <w:rsid w:val="00EF4883"/>
    <w:rsid w:val="00F04290"/>
    <w:rsid w:val="00F34A83"/>
    <w:rsid w:val="00F94A4D"/>
    <w:rsid w:val="00F96A8D"/>
    <w:rsid w:val="00FA41BA"/>
    <w:rsid w:val="6E6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Arial" w:hAnsi="Arial" w:eastAsia="宋体" w:cs="Times New Roman"/>
      <w:kern w:val="16"/>
      <w:sz w:val="20"/>
      <w:szCs w:val="20"/>
      <w:lang w:val="en-GB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footnote text"/>
    <w:basedOn w:val="1"/>
    <w:link w:val="12"/>
    <w:semiHidden/>
    <w:unhideWhenUsed/>
    <w:qFormat/>
    <w:uiPriority w:val="99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9">
    <w:name w:val="页眉 字符"/>
    <w:basedOn w:val="7"/>
    <w:link w:val="3"/>
    <w:qFormat/>
    <w:uiPriority w:val="99"/>
    <w:rPr>
      <w:rFonts w:ascii="Arial" w:hAnsi="Arial" w:eastAsia="宋体" w:cs="Times New Roman"/>
      <w:kern w:val="16"/>
      <w:sz w:val="18"/>
      <w:szCs w:val="18"/>
      <w:lang w:val="en-GB" w:eastAsia="en-US"/>
    </w:rPr>
  </w:style>
  <w:style w:type="character" w:customStyle="1" w:styleId="10">
    <w:name w:val="页脚 字符"/>
    <w:basedOn w:val="7"/>
    <w:link w:val="2"/>
    <w:qFormat/>
    <w:uiPriority w:val="99"/>
    <w:rPr>
      <w:rFonts w:ascii="Arial" w:hAnsi="Arial" w:eastAsia="宋体" w:cs="Times New Roman"/>
      <w:kern w:val="16"/>
      <w:sz w:val="18"/>
      <w:szCs w:val="18"/>
      <w:lang w:val="en-GB"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脚注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7"/>
    <w:qFormat/>
    <w:uiPriority w:val="0"/>
    <w:rPr>
      <w:rFonts w:hint="default" w:ascii="CIDFont+F1" w:hAnsi="CIDFont+F1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1437</Characters>
  <Lines>11</Lines>
  <Paragraphs>3</Paragraphs>
  <TotalTime>84</TotalTime>
  <ScaleCrop>false</ScaleCrop>
  <LinksUpToDate>false</LinksUpToDate>
  <CharactersWithSpaces>1685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2021-12-23T07:33:00Z</dcterms:created>
  <dc:creator>Huang Shiheng</dc:creator>
  <cp:lastModifiedBy>袁振</cp:lastModifiedBy>
  <dcterms:modified xsi:type="dcterms:W3CDTF">2022-01-29T08:34:27Z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