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8978" w14:textId="77777777" w:rsidR="00094095" w:rsidRPr="00B45F99" w:rsidRDefault="00094095" w:rsidP="00D131EB">
      <w:pPr>
        <w:spacing w:line="4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45F99">
        <w:rPr>
          <w:rFonts w:ascii="Times New Roman" w:hAnsi="Times New Roman"/>
          <w:b/>
          <w:sz w:val="28"/>
          <w:szCs w:val="28"/>
        </w:rPr>
        <w:t>经营者集中简易案件公示表</w:t>
      </w:r>
    </w:p>
    <w:p w14:paraId="26638CE0" w14:textId="77777777" w:rsidR="00094095" w:rsidRPr="00B45F99" w:rsidRDefault="00094095" w:rsidP="00094095">
      <w:pPr>
        <w:spacing w:line="440" w:lineRule="exact"/>
        <w:ind w:firstLineChars="302" w:firstLine="846"/>
        <w:rPr>
          <w:rFonts w:ascii="Times New Roman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5"/>
        <w:gridCol w:w="4794"/>
      </w:tblGrid>
      <w:tr w:rsidR="00094095" w:rsidRPr="00B45F99" w14:paraId="4DBF3F80" w14:textId="77777777" w:rsidTr="002F2D60">
        <w:tc>
          <w:tcPr>
            <w:tcW w:w="1809" w:type="dxa"/>
            <w:shd w:val="clear" w:color="auto" w:fill="D9D9D9"/>
          </w:tcPr>
          <w:p w14:paraId="54203468" w14:textId="77777777" w:rsidR="00094095" w:rsidRPr="00B45F99" w:rsidRDefault="00094095" w:rsidP="002F2D60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72875B1C" w14:textId="39A3C333" w:rsidR="00094095" w:rsidRPr="00B45F99" w:rsidRDefault="00E850BE" w:rsidP="00E8747F">
            <w:pPr>
              <w:widowControl/>
              <w:snapToGrid w:val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B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豪雅株式会社与北京京东方视讯科技有限公司新设合营企业案</w:t>
            </w:r>
          </w:p>
        </w:tc>
      </w:tr>
      <w:tr w:rsidR="00D7521A" w:rsidRPr="00B45F99" w14:paraId="32358130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3CF3F4EE" w14:textId="77777777" w:rsidR="00D7521A" w:rsidRPr="00B45F99" w:rsidRDefault="00D7521A" w:rsidP="002F2D60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交易概况（限</w:t>
            </w: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760829B8" w14:textId="78FB76B9" w:rsidR="00674F53" w:rsidRPr="00B45F99" w:rsidRDefault="00BF4AF1" w:rsidP="00F61C48">
            <w:pPr>
              <w:widowControl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月，豪雅株式会社（“豪雅”）</w:t>
            </w:r>
            <w:r w:rsidRPr="00E850B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与北京京东方视讯科技有限公司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（“京东方视讯”）</w:t>
            </w:r>
            <w:r w:rsidR="00645A0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签署协议设立合营企业，交易后，豪雅与京东方视讯共同控制合营企业。</w:t>
            </w:r>
          </w:p>
        </w:tc>
      </w:tr>
      <w:tr w:rsidR="0064769D" w:rsidRPr="00B45F99" w14:paraId="74BB17B6" w14:textId="77777777" w:rsidTr="00F033DA">
        <w:trPr>
          <w:trHeight w:val="144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9A9E654" w14:textId="77777777" w:rsidR="0064769D" w:rsidRPr="00B45F99" w:rsidRDefault="0064769D" w:rsidP="000668D8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2155" w:type="dxa"/>
            <w:vAlign w:val="center"/>
          </w:tcPr>
          <w:p w14:paraId="15F600D5" w14:textId="25B2824B" w:rsidR="0064769D" w:rsidRPr="00F033DA" w:rsidRDefault="0064769D">
            <w:pPr>
              <w:widowControl/>
              <w:snapToGrid w:val="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F033DA">
              <w:rPr>
                <w:rFonts w:ascii="Times New Roman" w:hAnsi="Times New Roman" w:cs="宋体"/>
                <w:kern w:val="0"/>
                <w:sz w:val="24"/>
                <w:szCs w:val="24"/>
              </w:rPr>
              <w:t>1</w:t>
            </w:r>
            <w:r w:rsidRPr="00F033DA">
              <w:rPr>
                <w:rFonts w:ascii="Times New Roman" w:hAnsi="Times New Roman" w:cs="宋体"/>
                <w:kern w:val="0"/>
                <w:sz w:val="24"/>
                <w:szCs w:val="24"/>
              </w:rPr>
              <w:t>、</w:t>
            </w:r>
            <w:r w:rsidR="00645A04" w:rsidRPr="00F033D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豪雅株式会社</w:t>
            </w:r>
          </w:p>
        </w:tc>
        <w:tc>
          <w:tcPr>
            <w:tcW w:w="4794" w:type="dxa"/>
            <w:vAlign w:val="center"/>
          </w:tcPr>
          <w:p w14:paraId="198A9677" w14:textId="3B6A40C9" w:rsidR="00565DCD" w:rsidRPr="00F033DA" w:rsidRDefault="00F033DA">
            <w:pPr>
              <w:widowControl/>
              <w:snapToGrid w:val="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F033DA">
              <w:rPr>
                <w:rFonts w:ascii="Times New Roman" w:hAnsi="Times New Roman" w:cs="宋体"/>
                <w:kern w:val="0"/>
                <w:sz w:val="24"/>
                <w:szCs w:val="24"/>
              </w:rPr>
              <w:t>豪雅于</w:t>
            </w:r>
            <w:r w:rsidRPr="00F033DA">
              <w:rPr>
                <w:rFonts w:ascii="Times New Roman" w:hAnsi="Times New Roman" w:cs="宋体"/>
                <w:kern w:val="0"/>
                <w:sz w:val="24"/>
                <w:szCs w:val="24"/>
              </w:rPr>
              <w:t>1941</w:t>
            </w:r>
            <w:r w:rsidRPr="00F033DA">
              <w:rPr>
                <w:rFonts w:ascii="Times New Roman" w:hAnsi="Times New Roman" w:cs="宋体"/>
                <w:kern w:val="0"/>
                <w:sz w:val="24"/>
                <w:szCs w:val="24"/>
              </w:rPr>
              <w:t>年设立于日本东京，现在是一家全球医疗科技公司，供应创新高科技产品和医疗产品。</w:t>
            </w:r>
          </w:p>
        </w:tc>
      </w:tr>
      <w:tr w:rsidR="0064769D" w:rsidRPr="00B45F99" w14:paraId="24BCFE1F" w14:textId="77777777" w:rsidTr="00F033DA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4889A212" w14:textId="77777777" w:rsidR="0064769D" w:rsidRPr="00B45F99" w:rsidRDefault="0064769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31B573E" w14:textId="26A12AF6" w:rsidR="0064769D" w:rsidRPr="00B45F99" w:rsidRDefault="0064769D" w:rsidP="001A36FB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2</w:t>
            </w:r>
            <w:r w:rsidRPr="00B45F99">
              <w:rPr>
                <w:rFonts w:ascii="Times New Roman" w:hAnsi="Times New Roman"/>
                <w:sz w:val="24"/>
                <w:szCs w:val="24"/>
              </w:rPr>
              <w:t>、</w:t>
            </w:r>
            <w:r w:rsidR="00DD2DFF" w:rsidRPr="00E850B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北京京东方视讯科技有限公司</w:t>
            </w:r>
          </w:p>
        </w:tc>
        <w:tc>
          <w:tcPr>
            <w:tcW w:w="4794" w:type="dxa"/>
          </w:tcPr>
          <w:p w14:paraId="2AEEC309" w14:textId="3D1B2D89" w:rsidR="0064769D" w:rsidRPr="00B45F99" w:rsidRDefault="00487369" w:rsidP="00D32FC4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7369">
              <w:rPr>
                <w:rFonts w:ascii="Times New Roman" w:hAnsi="Times New Roman" w:hint="eastAsia"/>
                <w:sz w:val="24"/>
                <w:szCs w:val="24"/>
              </w:rPr>
              <w:t>京东方视讯主要业务为生产液晶显示器、液晶电视、</w:t>
            </w:r>
            <w:r w:rsidRPr="00487369">
              <w:rPr>
                <w:rFonts w:ascii="Times New Roman" w:hAnsi="Times New Roman" w:hint="eastAsia"/>
                <w:sz w:val="24"/>
                <w:szCs w:val="24"/>
              </w:rPr>
              <w:t>TFT-LCD</w:t>
            </w:r>
            <w:r w:rsidRPr="00487369">
              <w:rPr>
                <w:rFonts w:ascii="Times New Roman" w:hAnsi="Times New Roman" w:hint="eastAsia"/>
                <w:sz w:val="24"/>
                <w:szCs w:val="24"/>
              </w:rPr>
              <w:t>显示器、电视等产品及系统。其母公司为京东方集团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9D391D" w:rsidRPr="00B45F99" w14:paraId="53262DB4" w14:textId="77777777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016DBA8A" w14:textId="77777777" w:rsidR="009D391D" w:rsidRPr="00B45F99" w:rsidRDefault="009D391D" w:rsidP="00BB2377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6999FA5A" w14:textId="4610D157" w:rsidR="009D391D" w:rsidRPr="00B45F99" w:rsidRDefault="00780B87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□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1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15%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9D391D" w:rsidRPr="00B45F99" w14:paraId="6628F59C" w14:textId="77777777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AB443FB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0A0DC1B" w14:textId="2D7829E7" w:rsidR="009D391D" w:rsidRPr="00B45F99" w:rsidRDefault="00487369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2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25%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9D391D" w:rsidRPr="00B45F99" w14:paraId="69F1CF0F" w14:textId="77777777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4C6360F9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B8C219A" w14:textId="74EB7E29" w:rsidR="009D391D" w:rsidRPr="00B45F99" w:rsidRDefault="00C811CC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□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3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25%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9D391D" w:rsidRPr="00B45F99" w14:paraId="12B2EE95" w14:textId="77777777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7CA1628A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64E3E25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□4</w:t>
            </w:r>
            <w:r w:rsidRPr="00B45F99">
              <w:rPr>
                <w:rFonts w:ascii="Times New Roman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9D391D" w:rsidRPr="00B45F99" w14:paraId="58F1DD00" w14:textId="77777777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75777523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2D5A399" w14:textId="01533EF8" w:rsidR="009D391D" w:rsidRPr="00B45F99" w:rsidRDefault="00487369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□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5</w:t>
            </w:r>
            <w:r w:rsidR="009D391D" w:rsidRPr="00B45F99">
              <w:rPr>
                <w:rFonts w:ascii="Times New Roman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9D391D" w:rsidRPr="00B45F99" w14:paraId="292E5193" w14:textId="77777777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51B84096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2492A771" w14:textId="77777777" w:rsidR="009D391D" w:rsidRPr="00B45F99" w:rsidRDefault="009D391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B45F99">
              <w:rPr>
                <w:rFonts w:ascii="Times New Roman" w:hAnsi="Times New Roman"/>
                <w:sz w:val="24"/>
                <w:szCs w:val="24"/>
              </w:rPr>
              <w:t>□6</w:t>
            </w:r>
            <w:r w:rsidRPr="00B45F99">
              <w:rPr>
                <w:rFonts w:ascii="Times New Roman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D7521A" w:rsidRPr="00B45F99" w14:paraId="2AC365D3" w14:textId="77777777" w:rsidTr="00C811CC">
        <w:tc>
          <w:tcPr>
            <w:tcW w:w="1809" w:type="dxa"/>
            <w:shd w:val="clear" w:color="auto" w:fill="D9D9D9"/>
          </w:tcPr>
          <w:p w14:paraId="70FC3EBB" w14:textId="77777777" w:rsidR="00D7521A" w:rsidRPr="00B45F99" w:rsidRDefault="00D7521A" w:rsidP="002F2D60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F99"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 w14:paraId="2D51B5EB" w14:textId="77777777" w:rsidR="00DA1251" w:rsidRDefault="00DA1251" w:rsidP="00C81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相关市场：</w:t>
            </w:r>
          </w:p>
          <w:p w14:paraId="5F4EF80F" w14:textId="77777777" w:rsidR="000F266C" w:rsidRDefault="00DA1251" w:rsidP="00DA1251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DA1251">
              <w:rPr>
                <w:rFonts w:ascii="Times New Roman" w:hAnsi="Times New Roman" w:hint="eastAsia"/>
                <w:sz w:val="24"/>
                <w:szCs w:val="24"/>
              </w:rPr>
              <w:t>全球显示面板用光掩膜基板市场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14:paraId="15C2A0F0" w14:textId="77777777" w:rsidR="00DA1251" w:rsidRDefault="00DA1251" w:rsidP="00DA1251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全球显示面板用光掩膜市场；</w:t>
            </w:r>
          </w:p>
          <w:p w14:paraId="0CF3296E" w14:textId="77777777" w:rsidR="00DA1251" w:rsidRDefault="00345DB0" w:rsidP="00DA1251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</w:t>
            </w:r>
            <w:r>
              <w:rPr>
                <w:rFonts w:ascii="Times New Roman" w:hAnsi="Times New Roman" w:hint="eastAsia"/>
                <w:sz w:val="24"/>
                <w:szCs w:val="24"/>
              </w:rPr>
              <w:t>TFT-LCD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显示面板市场；</w:t>
            </w:r>
          </w:p>
          <w:p w14:paraId="05CCC2E6" w14:textId="1DEC7DB3" w:rsidR="00345DB0" w:rsidRDefault="00345DB0" w:rsidP="00DA1251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</w:t>
            </w:r>
            <w:r>
              <w:rPr>
                <w:rFonts w:ascii="Times New Roman" w:hAnsi="Times New Roman" w:hint="eastAsia"/>
                <w:sz w:val="24"/>
                <w:szCs w:val="24"/>
              </w:rPr>
              <w:t>OLED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显示面板市场。</w:t>
            </w:r>
          </w:p>
          <w:p w14:paraId="37B8AC69" w14:textId="77777777" w:rsidR="00345DB0" w:rsidRDefault="00345DB0" w:rsidP="00345D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86936" w14:textId="77777777" w:rsidR="00345DB0" w:rsidRDefault="00345DB0" w:rsidP="0034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相关市场的市场份额</w:t>
            </w:r>
          </w:p>
          <w:p w14:paraId="33EAB438" w14:textId="77777777" w:rsidR="00345DB0" w:rsidRDefault="00345DB0" w:rsidP="00345DB0">
            <w:pPr>
              <w:rPr>
                <w:rFonts w:ascii="Times New Roman" w:hAnsi="Times New Roman"/>
                <w:sz w:val="24"/>
                <w:szCs w:val="24"/>
              </w:rPr>
            </w:pPr>
            <w:r w:rsidRPr="00DA1251">
              <w:rPr>
                <w:rFonts w:ascii="Times New Roman" w:hAnsi="Times New Roman" w:hint="eastAsia"/>
                <w:sz w:val="24"/>
                <w:szCs w:val="24"/>
              </w:rPr>
              <w:t>全球显示面板用光掩膜基板市场</w:t>
            </w:r>
          </w:p>
          <w:p w14:paraId="526F053C" w14:textId="77777777" w:rsidR="00345DB0" w:rsidRDefault="0036152B" w:rsidP="0034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豪雅：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20-25]%</w:t>
            </w:r>
          </w:p>
          <w:p w14:paraId="4036EE5E" w14:textId="77777777" w:rsidR="0036152B" w:rsidRDefault="0036152B" w:rsidP="0034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京东方：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  <w:p w14:paraId="7B303067" w14:textId="77777777" w:rsidR="0036152B" w:rsidRDefault="0036152B" w:rsidP="00345D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51B78" w14:textId="77777777" w:rsidR="0036152B" w:rsidRDefault="0036152B" w:rsidP="0034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全球显示面板用光掩膜市场</w:t>
            </w:r>
          </w:p>
          <w:p w14:paraId="3682342F" w14:textId="77777777" w:rsidR="0036152B" w:rsidRDefault="0036152B" w:rsidP="00361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豪雅：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20-25]%</w:t>
            </w:r>
          </w:p>
          <w:p w14:paraId="436BD7EF" w14:textId="77777777" w:rsidR="0036152B" w:rsidRDefault="0036152B" w:rsidP="00361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京东方：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  <w:p w14:paraId="2D2BC8C6" w14:textId="77777777" w:rsidR="00AC4D9C" w:rsidRDefault="00AC4D9C" w:rsidP="003615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E86BE" w14:textId="6A37F59B" w:rsidR="00AC4D9C" w:rsidRDefault="00AC4D9C" w:rsidP="00361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</w:t>
            </w:r>
            <w:r>
              <w:rPr>
                <w:rFonts w:ascii="Times New Roman" w:hAnsi="Times New Roman" w:hint="eastAsia"/>
                <w:sz w:val="24"/>
                <w:szCs w:val="24"/>
              </w:rPr>
              <w:t>TFT-LCD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显示面板市场</w:t>
            </w:r>
          </w:p>
          <w:p w14:paraId="0FFEBC42" w14:textId="551689A2" w:rsidR="00AC4D9C" w:rsidRDefault="00AC4D9C" w:rsidP="00A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豪雅：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0 </w:t>
            </w:r>
          </w:p>
          <w:p w14:paraId="543A852A" w14:textId="5CAAF7F9" w:rsidR="00AC4D9C" w:rsidRDefault="00AC4D9C" w:rsidP="00A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京东方：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20-25]%</w:t>
            </w:r>
          </w:p>
          <w:p w14:paraId="1DD93ED7" w14:textId="77777777" w:rsidR="00AC4D9C" w:rsidRDefault="00AC4D9C" w:rsidP="00AC4D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0947F" w14:textId="149EFA25" w:rsidR="00AC4D9C" w:rsidRDefault="00AC4D9C" w:rsidP="00361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全球</w:t>
            </w:r>
            <w:r>
              <w:rPr>
                <w:rFonts w:ascii="Times New Roman" w:hAnsi="Times New Roman" w:hint="eastAsia"/>
                <w:sz w:val="24"/>
                <w:szCs w:val="24"/>
              </w:rPr>
              <w:t>OLED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显示面板市场</w:t>
            </w:r>
          </w:p>
          <w:p w14:paraId="09B5997A" w14:textId="77777777" w:rsidR="00A60B8C" w:rsidRDefault="00A60B8C" w:rsidP="00A60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豪雅：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0 </w:t>
            </w:r>
          </w:p>
          <w:p w14:paraId="62A338B5" w14:textId="37BD1A00" w:rsidR="00AC4D9C" w:rsidRPr="00345DB0" w:rsidRDefault="00A60B8C" w:rsidP="00A60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京东方：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5-10]%</w:t>
            </w:r>
          </w:p>
        </w:tc>
      </w:tr>
    </w:tbl>
    <w:p w14:paraId="0581E3D8" w14:textId="77777777" w:rsidR="00D87AA4" w:rsidRDefault="00D87AA4" w:rsidP="00D87AA4">
      <w:pPr>
        <w:snapToGrid w:val="0"/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14:paraId="3CC65A3E" w14:textId="54A6290E" w:rsidR="00D87AA4" w:rsidRDefault="00D87AA4" w:rsidP="00D87AA4">
      <w:pPr>
        <w:snapToGrid w:val="0"/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注解：</w:t>
      </w:r>
    </w:p>
    <w:p w14:paraId="2080D0F8" w14:textId="77777777" w:rsidR="00D87AA4" w:rsidRDefault="00D87AA4" w:rsidP="00D87AA4">
      <w:pPr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申报方申请简易案件的理由是基于</w:t>
      </w:r>
      <w:r>
        <w:rPr>
          <w:rFonts w:ascii="Times New Roman" w:eastAsia="仿宋_GB2312" w:hAnsi="Times New Roman"/>
          <w:sz w:val="24"/>
          <w:szCs w:val="24"/>
        </w:rPr>
        <w:t>1-3</w:t>
      </w:r>
      <w:r>
        <w:rPr>
          <w:rFonts w:ascii="Times New Roman" w:eastAsia="仿宋_GB2312" w:hAnsi="Times New Roman" w:hint="eastAsia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>
        <w:rPr>
          <w:rFonts w:ascii="Times New Roman" w:eastAsia="仿宋_GB2312" w:hAnsi="Times New Roman"/>
          <w:sz w:val="24"/>
          <w:szCs w:val="24"/>
        </w:rPr>
        <w:t>5%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  <w:r>
        <w:rPr>
          <w:rFonts w:ascii="Times New Roman" w:eastAsia="仿宋_GB2312" w:hAnsi="Times New Roman"/>
          <w:sz w:val="24"/>
          <w:szCs w:val="24"/>
        </w:rPr>
        <w:t>1-3</w:t>
      </w:r>
      <w:r>
        <w:rPr>
          <w:rFonts w:ascii="Times New Roman" w:eastAsia="仿宋_GB2312" w:hAnsi="Times New Roman" w:hint="eastAsia"/>
          <w:sz w:val="24"/>
          <w:szCs w:val="24"/>
        </w:rPr>
        <w:t>项可以多选，也可单选；没有勾选的，视为本集中不涉及该类型交易。</w:t>
      </w:r>
    </w:p>
    <w:p w14:paraId="08DD88C6" w14:textId="77777777" w:rsidR="00D87AA4" w:rsidRDefault="00D87AA4" w:rsidP="00D87AA4">
      <w:pPr>
        <w:spacing w:line="360" w:lineRule="auto"/>
        <w:ind w:firstLineChars="200" w:firstLine="4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申报方申请简易案件的理由是基于第</w:t>
      </w:r>
      <w:r>
        <w:rPr>
          <w:rFonts w:ascii="Times New Roman" w:eastAsia="仿宋_GB2312" w:hAnsi="Times New Roman"/>
          <w:sz w:val="24"/>
          <w:szCs w:val="24"/>
        </w:rPr>
        <w:t>4</w:t>
      </w:r>
      <w:r>
        <w:rPr>
          <w:rFonts w:ascii="Times New Roman" w:eastAsia="仿宋_GB2312" w:hAnsi="Times New Roman" w:hint="eastAsia"/>
          <w:sz w:val="24"/>
          <w:szCs w:val="24"/>
        </w:rPr>
        <w:t>项、第</w:t>
      </w:r>
      <w:r>
        <w:rPr>
          <w:rFonts w:ascii="Times New Roman" w:eastAsia="仿宋_GB2312" w:hAnsi="Times New Roman"/>
          <w:sz w:val="24"/>
          <w:szCs w:val="24"/>
        </w:rPr>
        <w:t>5</w:t>
      </w:r>
      <w:r>
        <w:rPr>
          <w:rFonts w:ascii="Times New Roman" w:eastAsia="仿宋_GB2312" w:hAnsi="Times New Roman" w:hint="eastAsia"/>
          <w:sz w:val="24"/>
          <w:szCs w:val="24"/>
        </w:rPr>
        <w:t>项时，无须在备注中说明相关市场和市场份额。</w:t>
      </w:r>
      <w:r>
        <w:rPr>
          <w:rFonts w:ascii="Times New Roman" w:eastAsia="仿宋_GB2312" w:hAnsi="Times New Roman"/>
          <w:sz w:val="24"/>
          <w:szCs w:val="24"/>
        </w:rPr>
        <w:br/>
        <w:t xml:space="preserve">    3.</w:t>
      </w:r>
      <w:r>
        <w:rPr>
          <w:rFonts w:ascii="Times New Roman" w:eastAsia="仿宋_GB2312" w:hAnsi="Times New Roman" w:hint="eastAsia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项和第</w:t>
      </w:r>
      <w:r>
        <w:rPr>
          <w:rFonts w:ascii="Times New Roman" w:eastAsia="仿宋_GB2312" w:hAnsi="Times New Roman"/>
          <w:sz w:val="24"/>
          <w:szCs w:val="24"/>
        </w:rPr>
        <w:t>6</w:t>
      </w:r>
      <w:r>
        <w:rPr>
          <w:rFonts w:ascii="Times New Roman" w:eastAsia="仿宋_GB2312" w:hAnsi="Times New Roman" w:hint="eastAsia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>
        <w:rPr>
          <w:rFonts w:ascii="Times New Roman" w:eastAsia="仿宋_GB2312" w:hAnsi="Times New Roman"/>
          <w:sz w:val="24"/>
          <w:szCs w:val="24"/>
        </w:rPr>
        <w:t>5%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14:paraId="252622F9" w14:textId="77777777" w:rsidR="00BB2377" w:rsidRPr="00D87AA4" w:rsidRDefault="00BB2377" w:rsidP="00BB2377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 w:rsidR="00BB2377" w:rsidRPr="00D87AA4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A4D0" w14:textId="77777777" w:rsidR="00AD7F6E" w:rsidRDefault="00AD7F6E" w:rsidP="00094095">
      <w:r>
        <w:separator/>
      </w:r>
    </w:p>
  </w:endnote>
  <w:endnote w:type="continuationSeparator" w:id="0">
    <w:p w14:paraId="2500FD94" w14:textId="77777777" w:rsidR="00AD7F6E" w:rsidRDefault="00AD7F6E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BF3F" w14:textId="77777777" w:rsidR="00AD7F6E" w:rsidRDefault="00AD7F6E" w:rsidP="00094095">
      <w:r>
        <w:separator/>
      </w:r>
    </w:p>
  </w:footnote>
  <w:footnote w:type="continuationSeparator" w:id="0">
    <w:p w14:paraId="1D6BB1DC" w14:textId="77777777" w:rsidR="00AD7F6E" w:rsidRDefault="00AD7F6E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14D"/>
    <w:multiLevelType w:val="hybridMultilevel"/>
    <w:tmpl w:val="B6C08FFA"/>
    <w:lvl w:ilvl="0" w:tplc="075CB8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87798"/>
    <w:multiLevelType w:val="hybridMultilevel"/>
    <w:tmpl w:val="A95E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E5508"/>
    <w:multiLevelType w:val="hybridMultilevel"/>
    <w:tmpl w:val="D108DA20"/>
    <w:lvl w:ilvl="0" w:tplc="94DC591A">
      <w:numFmt w:val="bullet"/>
      <w:lvlText w:val="•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2F6044"/>
    <w:multiLevelType w:val="hybridMultilevel"/>
    <w:tmpl w:val="9FB20A92"/>
    <w:lvl w:ilvl="0" w:tplc="FE7C7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9F02E6"/>
    <w:multiLevelType w:val="hybridMultilevel"/>
    <w:tmpl w:val="D85A72EE"/>
    <w:lvl w:ilvl="0" w:tplc="8AC07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12C3"/>
    <w:rsid w:val="0001527C"/>
    <w:rsid w:val="0002196F"/>
    <w:rsid w:val="00024D63"/>
    <w:rsid w:val="0003766A"/>
    <w:rsid w:val="00044452"/>
    <w:rsid w:val="00051F6D"/>
    <w:rsid w:val="0005551D"/>
    <w:rsid w:val="000668D8"/>
    <w:rsid w:val="00071003"/>
    <w:rsid w:val="00071AD2"/>
    <w:rsid w:val="000759FE"/>
    <w:rsid w:val="00076663"/>
    <w:rsid w:val="00080FBF"/>
    <w:rsid w:val="00094095"/>
    <w:rsid w:val="000B1D7A"/>
    <w:rsid w:val="000B525B"/>
    <w:rsid w:val="000C1997"/>
    <w:rsid w:val="000D0BBB"/>
    <w:rsid w:val="000E3542"/>
    <w:rsid w:val="000E72A6"/>
    <w:rsid w:val="000F266C"/>
    <w:rsid w:val="000F7BA2"/>
    <w:rsid w:val="00123084"/>
    <w:rsid w:val="00144035"/>
    <w:rsid w:val="00150A91"/>
    <w:rsid w:val="001546F2"/>
    <w:rsid w:val="00156B3F"/>
    <w:rsid w:val="0016629C"/>
    <w:rsid w:val="001818CA"/>
    <w:rsid w:val="00181D56"/>
    <w:rsid w:val="001A36FB"/>
    <w:rsid w:val="001A6D56"/>
    <w:rsid w:val="001B09F2"/>
    <w:rsid w:val="001B58C3"/>
    <w:rsid w:val="001C67FD"/>
    <w:rsid w:val="001C6A5F"/>
    <w:rsid w:val="001E1142"/>
    <w:rsid w:val="00203D1C"/>
    <w:rsid w:val="00205E63"/>
    <w:rsid w:val="00210BCC"/>
    <w:rsid w:val="00214485"/>
    <w:rsid w:val="00226443"/>
    <w:rsid w:val="00230FAE"/>
    <w:rsid w:val="00242436"/>
    <w:rsid w:val="0024340D"/>
    <w:rsid w:val="00245776"/>
    <w:rsid w:val="00263C77"/>
    <w:rsid w:val="00272AB1"/>
    <w:rsid w:val="00283A78"/>
    <w:rsid w:val="002A026C"/>
    <w:rsid w:val="002A540C"/>
    <w:rsid w:val="002B0CB8"/>
    <w:rsid w:val="002C62A9"/>
    <w:rsid w:val="002C6904"/>
    <w:rsid w:val="002D1CB2"/>
    <w:rsid w:val="002D4134"/>
    <w:rsid w:val="002D7907"/>
    <w:rsid w:val="002F0B67"/>
    <w:rsid w:val="002F2D60"/>
    <w:rsid w:val="0030441E"/>
    <w:rsid w:val="00307976"/>
    <w:rsid w:val="003163B1"/>
    <w:rsid w:val="003175FF"/>
    <w:rsid w:val="0032398B"/>
    <w:rsid w:val="0033116F"/>
    <w:rsid w:val="0033461F"/>
    <w:rsid w:val="0033698A"/>
    <w:rsid w:val="00344ACB"/>
    <w:rsid w:val="00345DB0"/>
    <w:rsid w:val="003471BB"/>
    <w:rsid w:val="003503BE"/>
    <w:rsid w:val="00360048"/>
    <w:rsid w:val="0036152B"/>
    <w:rsid w:val="00364F31"/>
    <w:rsid w:val="00365DFA"/>
    <w:rsid w:val="00382448"/>
    <w:rsid w:val="00382A42"/>
    <w:rsid w:val="0039003D"/>
    <w:rsid w:val="003905B0"/>
    <w:rsid w:val="003A1A4C"/>
    <w:rsid w:val="003A4AA8"/>
    <w:rsid w:val="003B7ED0"/>
    <w:rsid w:val="003D07C9"/>
    <w:rsid w:val="003D355E"/>
    <w:rsid w:val="003F487A"/>
    <w:rsid w:val="003F5F41"/>
    <w:rsid w:val="00407692"/>
    <w:rsid w:val="00427A9F"/>
    <w:rsid w:val="0043240D"/>
    <w:rsid w:val="00432E08"/>
    <w:rsid w:val="0043690A"/>
    <w:rsid w:val="00445C9E"/>
    <w:rsid w:val="004522EB"/>
    <w:rsid w:val="00457929"/>
    <w:rsid w:val="00462174"/>
    <w:rsid w:val="004636E0"/>
    <w:rsid w:val="00465ED2"/>
    <w:rsid w:val="00470677"/>
    <w:rsid w:val="00487369"/>
    <w:rsid w:val="004A3C1D"/>
    <w:rsid w:val="004A70D9"/>
    <w:rsid w:val="004A7FF9"/>
    <w:rsid w:val="004C5AF6"/>
    <w:rsid w:val="004E1673"/>
    <w:rsid w:val="00504639"/>
    <w:rsid w:val="00515783"/>
    <w:rsid w:val="00515FC0"/>
    <w:rsid w:val="0051697A"/>
    <w:rsid w:val="0053416A"/>
    <w:rsid w:val="00536D90"/>
    <w:rsid w:val="00543317"/>
    <w:rsid w:val="00557A30"/>
    <w:rsid w:val="00565DCD"/>
    <w:rsid w:val="005672BF"/>
    <w:rsid w:val="00576710"/>
    <w:rsid w:val="00582147"/>
    <w:rsid w:val="0059390B"/>
    <w:rsid w:val="005A36C5"/>
    <w:rsid w:val="005C1BA6"/>
    <w:rsid w:val="005C2049"/>
    <w:rsid w:val="005C56DB"/>
    <w:rsid w:val="005D1E6F"/>
    <w:rsid w:val="005F167B"/>
    <w:rsid w:val="005F2FA5"/>
    <w:rsid w:val="005F3C72"/>
    <w:rsid w:val="00603DF2"/>
    <w:rsid w:val="006258F2"/>
    <w:rsid w:val="00633814"/>
    <w:rsid w:val="00636050"/>
    <w:rsid w:val="006376A0"/>
    <w:rsid w:val="006406ED"/>
    <w:rsid w:val="00644586"/>
    <w:rsid w:val="00645A04"/>
    <w:rsid w:val="0064769D"/>
    <w:rsid w:val="00657368"/>
    <w:rsid w:val="00672B01"/>
    <w:rsid w:val="00674F53"/>
    <w:rsid w:val="00681BD3"/>
    <w:rsid w:val="00695458"/>
    <w:rsid w:val="006A2E8E"/>
    <w:rsid w:val="006C2EB0"/>
    <w:rsid w:val="006E36B8"/>
    <w:rsid w:val="006F2A87"/>
    <w:rsid w:val="006F7E90"/>
    <w:rsid w:val="006F7EB8"/>
    <w:rsid w:val="00702B7F"/>
    <w:rsid w:val="00713275"/>
    <w:rsid w:val="007266BD"/>
    <w:rsid w:val="00727D71"/>
    <w:rsid w:val="00744D57"/>
    <w:rsid w:val="007560BC"/>
    <w:rsid w:val="00760A24"/>
    <w:rsid w:val="00773734"/>
    <w:rsid w:val="00780B87"/>
    <w:rsid w:val="00783F90"/>
    <w:rsid w:val="00784F40"/>
    <w:rsid w:val="007C0EBC"/>
    <w:rsid w:val="007C3744"/>
    <w:rsid w:val="007E1851"/>
    <w:rsid w:val="007E1AEA"/>
    <w:rsid w:val="00810078"/>
    <w:rsid w:val="00816833"/>
    <w:rsid w:val="00822FC0"/>
    <w:rsid w:val="008262AC"/>
    <w:rsid w:val="00827DF9"/>
    <w:rsid w:val="00836101"/>
    <w:rsid w:val="00840CED"/>
    <w:rsid w:val="008439B1"/>
    <w:rsid w:val="00850E5A"/>
    <w:rsid w:val="00856887"/>
    <w:rsid w:val="0086033E"/>
    <w:rsid w:val="00864E5A"/>
    <w:rsid w:val="00870B5D"/>
    <w:rsid w:val="008724BE"/>
    <w:rsid w:val="00884CF8"/>
    <w:rsid w:val="0088587E"/>
    <w:rsid w:val="008927FB"/>
    <w:rsid w:val="008A266A"/>
    <w:rsid w:val="008A2D3A"/>
    <w:rsid w:val="008B4600"/>
    <w:rsid w:val="008B7C35"/>
    <w:rsid w:val="008D4593"/>
    <w:rsid w:val="008D7EF4"/>
    <w:rsid w:val="008F0128"/>
    <w:rsid w:val="008F5D41"/>
    <w:rsid w:val="0091058A"/>
    <w:rsid w:val="00911F6A"/>
    <w:rsid w:val="00916449"/>
    <w:rsid w:val="00916701"/>
    <w:rsid w:val="009175FF"/>
    <w:rsid w:val="00957E27"/>
    <w:rsid w:val="00975C91"/>
    <w:rsid w:val="00985EB9"/>
    <w:rsid w:val="009956CA"/>
    <w:rsid w:val="009C5D29"/>
    <w:rsid w:val="009D140F"/>
    <w:rsid w:val="009D391D"/>
    <w:rsid w:val="009D7407"/>
    <w:rsid w:val="009E335D"/>
    <w:rsid w:val="009E59C7"/>
    <w:rsid w:val="009F56F8"/>
    <w:rsid w:val="009F5EAA"/>
    <w:rsid w:val="00A00933"/>
    <w:rsid w:val="00A025FC"/>
    <w:rsid w:val="00A03445"/>
    <w:rsid w:val="00A07F3C"/>
    <w:rsid w:val="00A1304E"/>
    <w:rsid w:val="00A13E8A"/>
    <w:rsid w:val="00A16214"/>
    <w:rsid w:val="00A22729"/>
    <w:rsid w:val="00A24168"/>
    <w:rsid w:val="00A42E3D"/>
    <w:rsid w:val="00A50F20"/>
    <w:rsid w:val="00A60B8C"/>
    <w:rsid w:val="00A74056"/>
    <w:rsid w:val="00A74741"/>
    <w:rsid w:val="00AA090F"/>
    <w:rsid w:val="00AA2265"/>
    <w:rsid w:val="00AA6258"/>
    <w:rsid w:val="00AA65E3"/>
    <w:rsid w:val="00AC4D9C"/>
    <w:rsid w:val="00AD3FEC"/>
    <w:rsid w:val="00AD7F6E"/>
    <w:rsid w:val="00AE1452"/>
    <w:rsid w:val="00B15B3B"/>
    <w:rsid w:val="00B248D3"/>
    <w:rsid w:val="00B24DFF"/>
    <w:rsid w:val="00B375D2"/>
    <w:rsid w:val="00B375DB"/>
    <w:rsid w:val="00B44335"/>
    <w:rsid w:val="00B45F99"/>
    <w:rsid w:val="00B5382E"/>
    <w:rsid w:val="00B56580"/>
    <w:rsid w:val="00B628DC"/>
    <w:rsid w:val="00B653F4"/>
    <w:rsid w:val="00B72151"/>
    <w:rsid w:val="00BA0750"/>
    <w:rsid w:val="00BA3947"/>
    <w:rsid w:val="00BB16EC"/>
    <w:rsid w:val="00BB2377"/>
    <w:rsid w:val="00BB323E"/>
    <w:rsid w:val="00BC047C"/>
    <w:rsid w:val="00BC24B5"/>
    <w:rsid w:val="00BC3714"/>
    <w:rsid w:val="00BD0B9E"/>
    <w:rsid w:val="00BD787F"/>
    <w:rsid w:val="00BF4AF1"/>
    <w:rsid w:val="00BF6B87"/>
    <w:rsid w:val="00C02D65"/>
    <w:rsid w:val="00C04FE8"/>
    <w:rsid w:val="00C057FE"/>
    <w:rsid w:val="00C1305C"/>
    <w:rsid w:val="00C13FDA"/>
    <w:rsid w:val="00C14839"/>
    <w:rsid w:val="00C3207E"/>
    <w:rsid w:val="00C33A20"/>
    <w:rsid w:val="00C41AE9"/>
    <w:rsid w:val="00C55B9D"/>
    <w:rsid w:val="00C73569"/>
    <w:rsid w:val="00C811CC"/>
    <w:rsid w:val="00C81B21"/>
    <w:rsid w:val="00C86A7A"/>
    <w:rsid w:val="00C9068E"/>
    <w:rsid w:val="00C915A3"/>
    <w:rsid w:val="00C91F81"/>
    <w:rsid w:val="00C92AC9"/>
    <w:rsid w:val="00CA5288"/>
    <w:rsid w:val="00CB21EC"/>
    <w:rsid w:val="00CB5066"/>
    <w:rsid w:val="00CB5731"/>
    <w:rsid w:val="00CC4D06"/>
    <w:rsid w:val="00CC6ABF"/>
    <w:rsid w:val="00CD1B86"/>
    <w:rsid w:val="00CD2B5D"/>
    <w:rsid w:val="00CF2118"/>
    <w:rsid w:val="00CF4918"/>
    <w:rsid w:val="00CF522C"/>
    <w:rsid w:val="00D131EB"/>
    <w:rsid w:val="00D21777"/>
    <w:rsid w:val="00D220A0"/>
    <w:rsid w:val="00D26A40"/>
    <w:rsid w:val="00D32FC4"/>
    <w:rsid w:val="00D343B2"/>
    <w:rsid w:val="00D404A9"/>
    <w:rsid w:val="00D45F21"/>
    <w:rsid w:val="00D7521A"/>
    <w:rsid w:val="00D81EDF"/>
    <w:rsid w:val="00D83E9F"/>
    <w:rsid w:val="00D87AA4"/>
    <w:rsid w:val="00D9028D"/>
    <w:rsid w:val="00D9042B"/>
    <w:rsid w:val="00D94F5A"/>
    <w:rsid w:val="00D9700E"/>
    <w:rsid w:val="00DA005B"/>
    <w:rsid w:val="00DA1251"/>
    <w:rsid w:val="00DA3508"/>
    <w:rsid w:val="00DA5E07"/>
    <w:rsid w:val="00DC0AA4"/>
    <w:rsid w:val="00DD0A04"/>
    <w:rsid w:val="00DD2DFF"/>
    <w:rsid w:val="00DD3258"/>
    <w:rsid w:val="00DD3408"/>
    <w:rsid w:val="00DE423C"/>
    <w:rsid w:val="00E03D88"/>
    <w:rsid w:val="00E31506"/>
    <w:rsid w:val="00E36CCA"/>
    <w:rsid w:val="00E423F1"/>
    <w:rsid w:val="00E44AFE"/>
    <w:rsid w:val="00E459CE"/>
    <w:rsid w:val="00E603D6"/>
    <w:rsid w:val="00E66638"/>
    <w:rsid w:val="00E850BE"/>
    <w:rsid w:val="00E8747F"/>
    <w:rsid w:val="00E90073"/>
    <w:rsid w:val="00EA39B0"/>
    <w:rsid w:val="00EB2BC3"/>
    <w:rsid w:val="00EB7DF3"/>
    <w:rsid w:val="00EC426B"/>
    <w:rsid w:val="00EC4EA3"/>
    <w:rsid w:val="00EC700B"/>
    <w:rsid w:val="00ED21B1"/>
    <w:rsid w:val="00EF0A84"/>
    <w:rsid w:val="00EF64F6"/>
    <w:rsid w:val="00F033DA"/>
    <w:rsid w:val="00F043B1"/>
    <w:rsid w:val="00F043F8"/>
    <w:rsid w:val="00F04F9B"/>
    <w:rsid w:val="00F27C22"/>
    <w:rsid w:val="00F31CEA"/>
    <w:rsid w:val="00F32BF5"/>
    <w:rsid w:val="00F40A9E"/>
    <w:rsid w:val="00F61C48"/>
    <w:rsid w:val="00F633B2"/>
    <w:rsid w:val="00F641B0"/>
    <w:rsid w:val="00F76802"/>
    <w:rsid w:val="00F87C1F"/>
    <w:rsid w:val="00FA0AF4"/>
    <w:rsid w:val="00FA28D5"/>
    <w:rsid w:val="00FB6B89"/>
    <w:rsid w:val="00FE14ED"/>
    <w:rsid w:val="00FF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7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List Paragraph"/>
    <w:basedOn w:val="a"/>
    <w:uiPriority w:val="34"/>
    <w:qFormat/>
    <w:rsid w:val="00E44AFE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FB6B8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B6B89"/>
    <w:rPr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F56F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9F56F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9F56F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56F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F56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BE15-4769-45E3-B622-85EADDD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2021-09-09T14:47:00Z</dcterms:created>
  <dcterms:modified xsi:type="dcterms:W3CDTF">2021-12-14T08:07:00Z</dcterms:modified>
</cp:coreProperties>
</file>