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00" w:beforeAutospacing="1" w:after="100" w:afterAutospacing="1"/>
        <w:jc w:val="center"/>
        <w:rPr>
          <w:rFonts w:ascii="Times New Roman" w:hAnsi="Times New Roman"/>
          <w:sz w:val="28"/>
          <w:szCs w:val="28"/>
        </w:rPr>
      </w:pPr>
      <w:r>
        <w:rPr>
          <w:rFonts w:ascii="Times New Roman" w:hAnsi="Times New Roman"/>
          <w:b/>
          <w:sz w:val="28"/>
          <w:szCs w:val="28"/>
        </w:rPr>
        <w:t>经营者集中简易案件公示表</w:t>
      </w:r>
    </w:p>
    <w:tbl>
      <w:tblPr>
        <w:tblStyle w:val="11"/>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2030"/>
        <w:gridCol w:w="4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1560" w:type="dxa"/>
            <w:shd w:val="clear" w:color="auto" w:fill="D9D9D9"/>
            <w:vAlign w:val="center"/>
          </w:tcPr>
          <w:p>
            <w:pPr>
              <w:snapToGrid w:val="0"/>
              <w:jc w:val="center"/>
              <w:rPr>
                <w:rFonts w:ascii="Times New Roman" w:hAnsi="Times New Roman"/>
                <w:b/>
                <w:color w:val="333333"/>
                <w:kern w:val="0"/>
                <w:sz w:val="24"/>
                <w:szCs w:val="24"/>
              </w:rPr>
            </w:pPr>
            <w:r>
              <w:rPr>
                <w:rFonts w:ascii="Times New Roman" w:hAnsi="Times New Roman"/>
                <w:b/>
                <w:color w:val="333333"/>
                <w:kern w:val="0"/>
                <w:sz w:val="24"/>
                <w:szCs w:val="24"/>
              </w:rPr>
              <w:t>案件名称</w:t>
            </w:r>
          </w:p>
        </w:tc>
        <w:tc>
          <w:tcPr>
            <w:tcW w:w="6662" w:type="dxa"/>
            <w:gridSpan w:val="2"/>
            <w:vAlign w:val="center"/>
          </w:tcPr>
          <w:p>
            <w:pPr>
              <w:snapToGrid w:val="0"/>
              <w:rPr>
                <w:rFonts w:ascii="Times New Roman" w:hAnsi="Times New Roman"/>
                <w:color w:val="333333"/>
                <w:kern w:val="0"/>
                <w:sz w:val="24"/>
                <w:szCs w:val="24"/>
              </w:rPr>
            </w:pPr>
            <w:r>
              <w:rPr>
                <w:rFonts w:hint="eastAsia" w:ascii="Times New Roman Regular" w:hAnsi="Times New Roman Regular" w:cs="Times New Roman Regular"/>
                <w:kern w:val="0"/>
                <w:sz w:val="24"/>
                <w:szCs w:val="24"/>
                <w:lang w:eastAsia="zh-Hans"/>
              </w:rPr>
              <w:t>KKR公司与</w:t>
            </w:r>
            <w:bookmarkStart w:id="0" w:name="_GoBack"/>
            <w:bookmarkEnd w:id="0"/>
            <w:r>
              <w:rPr>
                <w:rFonts w:hint="eastAsia" w:ascii="Times New Roman Regular" w:hAnsi="Times New Roman Regular" w:cs="Times New Roman Regular"/>
                <w:kern w:val="0"/>
                <w:sz w:val="24"/>
                <w:szCs w:val="24"/>
                <w:lang w:eastAsia="zh-Hans"/>
              </w:rPr>
              <w:t>全球基础设施管理有限公司收购赛勒斯万公司股权案</w:t>
            </w:r>
            <w:r>
              <w:rPr>
                <w:rFonts w:hint="eastAsia" w:ascii="宋体" w:hAnsi="宋体" w:cs="宋体"/>
                <w:kern w:val="0"/>
                <w:sz w:val="24"/>
                <w:szCs w:val="24"/>
                <w:lang w:eastAsia="zh-Hans"/>
              </w:rPr>
              <w:t>（“</w:t>
            </w:r>
            <w:r>
              <w:rPr>
                <w:rFonts w:hint="eastAsia" w:ascii="宋体" w:hAnsi="宋体" w:cs="宋体"/>
                <w:b/>
                <w:bCs/>
                <w:kern w:val="0"/>
                <w:sz w:val="24"/>
                <w:szCs w:val="24"/>
                <w:lang w:eastAsia="zh-Hans"/>
              </w:rPr>
              <w:t>本次交易</w:t>
            </w:r>
            <w:r>
              <w:rPr>
                <w:rFonts w:hint="eastAsia" w:ascii="宋体" w:hAnsi="宋体" w:cs="宋体"/>
                <w:kern w:val="0"/>
                <w:sz w:val="24"/>
                <w:szCs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4" w:hRule="atLeast"/>
        </w:trPr>
        <w:tc>
          <w:tcPr>
            <w:tcW w:w="1560" w:type="dxa"/>
            <w:shd w:val="clear" w:color="auto" w:fill="D9D9D9"/>
            <w:vAlign w:val="center"/>
          </w:tcPr>
          <w:p>
            <w:pPr>
              <w:snapToGrid w:val="0"/>
              <w:jc w:val="center"/>
              <w:rPr>
                <w:rFonts w:ascii="Times New Roman" w:hAnsi="Times New Roman"/>
                <w:b/>
                <w:color w:val="333333"/>
                <w:kern w:val="0"/>
                <w:sz w:val="24"/>
                <w:szCs w:val="24"/>
              </w:rPr>
            </w:pPr>
            <w:r>
              <w:rPr>
                <w:rFonts w:ascii="Times New Roman" w:hAnsi="Times New Roman"/>
                <w:b/>
                <w:color w:val="333333"/>
                <w:kern w:val="0"/>
                <w:sz w:val="24"/>
                <w:szCs w:val="24"/>
              </w:rPr>
              <w:t>交易概况</w:t>
            </w:r>
          </w:p>
          <w:p>
            <w:pPr>
              <w:snapToGrid w:val="0"/>
              <w:jc w:val="center"/>
              <w:rPr>
                <w:rFonts w:ascii="Times New Roman" w:hAnsi="Times New Roman"/>
                <w:b/>
                <w:color w:val="333333"/>
                <w:kern w:val="0"/>
                <w:sz w:val="24"/>
                <w:szCs w:val="24"/>
              </w:rPr>
            </w:pPr>
            <w:r>
              <w:rPr>
                <w:rFonts w:ascii="Times New Roman" w:hAnsi="Times New Roman"/>
                <w:b/>
                <w:color w:val="333333"/>
                <w:kern w:val="0"/>
                <w:sz w:val="24"/>
                <w:szCs w:val="24"/>
              </w:rPr>
              <w:t>（限200字内）</w:t>
            </w:r>
          </w:p>
        </w:tc>
        <w:tc>
          <w:tcPr>
            <w:tcW w:w="6662" w:type="dxa"/>
            <w:gridSpan w:val="2"/>
            <w:vAlign w:val="center"/>
          </w:tcPr>
          <w:p>
            <w:pPr>
              <w:snapToGrid w:val="0"/>
              <w:rPr>
                <w:rFonts w:ascii="Times New Roman" w:hAnsi="Times New Roman"/>
                <w:sz w:val="24"/>
                <w:szCs w:val="24"/>
              </w:rPr>
            </w:pPr>
            <w:r>
              <w:rPr>
                <w:rFonts w:hint="eastAsia" w:ascii="Times New Roman" w:hAnsi="Times New Roman"/>
                <w:sz w:val="24"/>
                <w:szCs w:val="24"/>
                <w:lang w:eastAsia="zh-Hans"/>
              </w:rPr>
              <w:t>本次交易涉及</w:t>
            </w:r>
            <w:r>
              <w:rPr>
                <w:rFonts w:hint="eastAsia" w:ascii="Times New Roman" w:hAnsi="Times New Roman"/>
                <w:sz w:val="24"/>
                <w:szCs w:val="24"/>
              </w:rPr>
              <w:t>KKR</w:t>
            </w:r>
            <w:r>
              <w:rPr>
                <w:rFonts w:hint="eastAsia" w:ascii="Times New Roman" w:hAnsi="Times New Roman"/>
                <w:sz w:val="24"/>
                <w:szCs w:val="24"/>
                <w:lang w:eastAsia="zh-Hans"/>
              </w:rPr>
              <w:t>公司（</w:t>
            </w:r>
            <w:r>
              <w:rPr>
                <w:rFonts w:hint="eastAsia" w:ascii="宋体" w:hAnsi="宋体" w:cs="宋体"/>
                <w:kern w:val="0"/>
                <w:sz w:val="24"/>
                <w:szCs w:val="24"/>
                <w:lang w:eastAsia="zh-Hans"/>
              </w:rPr>
              <w:t>“</w:t>
            </w:r>
            <w:r>
              <w:rPr>
                <w:rFonts w:ascii="Times New Roman Bold" w:hAnsi="Times New Roman Bold" w:cs="Times New Roman Bold"/>
                <w:b/>
                <w:bCs/>
                <w:kern w:val="0"/>
                <w:sz w:val="24"/>
                <w:szCs w:val="24"/>
                <w:lang w:eastAsia="zh-Hans"/>
              </w:rPr>
              <w:t>KKR &amp; Co.</w:t>
            </w:r>
            <w:r>
              <w:rPr>
                <w:rFonts w:hint="eastAsia" w:ascii="宋体" w:hAnsi="宋体" w:cs="宋体"/>
                <w:kern w:val="0"/>
                <w:sz w:val="24"/>
                <w:szCs w:val="24"/>
                <w:lang w:eastAsia="zh-Hans"/>
              </w:rPr>
              <w:t>”，</w:t>
            </w:r>
            <w:r>
              <w:rPr>
                <w:rFonts w:ascii="Times New Roman" w:hAnsi="Times New Roman"/>
                <w:sz w:val="24"/>
                <w:szCs w:val="24"/>
                <w:lang w:eastAsia="zh-Hans"/>
              </w:rPr>
              <w:t>“</w:t>
            </w:r>
            <w:r>
              <w:rPr>
                <w:rFonts w:ascii="Times New Roman Bold" w:hAnsi="Times New Roman Bold" w:cs="Times New Roman Bold"/>
                <w:b/>
                <w:bCs/>
                <w:sz w:val="24"/>
                <w:szCs w:val="24"/>
                <w:lang w:eastAsia="zh-Hans"/>
              </w:rPr>
              <w:t>KKR</w:t>
            </w:r>
            <w:r>
              <w:rPr>
                <w:rFonts w:ascii="Times New Roman" w:hAnsi="Times New Roman"/>
                <w:sz w:val="24"/>
                <w:szCs w:val="24"/>
                <w:lang w:eastAsia="zh-Hans"/>
              </w:rPr>
              <w:t>”</w:t>
            </w:r>
            <w:r>
              <w:rPr>
                <w:rFonts w:hint="eastAsia" w:ascii="Times New Roman" w:hAnsi="Times New Roman"/>
                <w:sz w:val="24"/>
                <w:szCs w:val="24"/>
                <w:lang w:eastAsia="zh-Hans"/>
              </w:rPr>
              <w:t>）</w:t>
            </w:r>
            <w:r>
              <w:rPr>
                <w:rFonts w:hint="eastAsia" w:ascii="Times New Roman" w:hAnsi="Times New Roman"/>
                <w:sz w:val="24"/>
                <w:szCs w:val="24"/>
              </w:rPr>
              <w:t>和全球基础设施管理有限公司</w:t>
            </w:r>
            <w:r>
              <w:rPr>
                <w:rFonts w:hint="eastAsia" w:ascii="Times New Roman" w:hAnsi="Times New Roman"/>
                <w:sz w:val="24"/>
                <w:szCs w:val="24"/>
                <w:lang w:eastAsia="zh-Hans"/>
              </w:rPr>
              <w:t>（“</w:t>
            </w:r>
            <w:r>
              <w:rPr>
                <w:rFonts w:ascii="Times New Roman Bold" w:hAnsi="Times New Roman Bold" w:cs="Times New Roman Bold"/>
                <w:b/>
                <w:bCs/>
                <w:sz w:val="24"/>
                <w:szCs w:val="24"/>
                <w:lang w:eastAsia="zh-Hans"/>
              </w:rPr>
              <w:t>GIP</w:t>
            </w:r>
            <w:r>
              <w:rPr>
                <w:rFonts w:hint="eastAsia" w:ascii="Times New Roman" w:hAnsi="Times New Roman"/>
                <w:sz w:val="24"/>
                <w:szCs w:val="24"/>
                <w:lang w:eastAsia="zh-Hans"/>
              </w:rPr>
              <w:t>”）间接收购赛勒斯万公司（“</w:t>
            </w:r>
            <w:r>
              <w:rPr>
                <w:rFonts w:hint="eastAsia" w:ascii="Times New Roman" w:hAnsi="Times New Roman"/>
                <w:b/>
                <w:bCs/>
                <w:sz w:val="24"/>
                <w:szCs w:val="24"/>
                <w:lang w:eastAsia="zh-Hans"/>
              </w:rPr>
              <w:t>赛勒斯万</w:t>
            </w:r>
            <w:r>
              <w:rPr>
                <w:rFonts w:hint="eastAsia" w:ascii="Times New Roman" w:hAnsi="Times New Roman"/>
                <w:sz w:val="24"/>
                <w:szCs w:val="24"/>
                <w:lang w:eastAsia="zh-Hans"/>
              </w:rPr>
              <w:t>”）的股权和共同控制权。根据《合并协议》，</w:t>
            </w:r>
            <w:r>
              <w:rPr>
                <w:rFonts w:ascii="Times New Roman" w:hAnsi="Times New Roman"/>
                <w:sz w:val="24"/>
                <w:szCs w:val="24"/>
                <w:lang w:eastAsia="zh-Hans"/>
              </w:rPr>
              <w:t>KKR</w:t>
            </w:r>
            <w:r>
              <w:rPr>
                <w:rFonts w:hint="eastAsia" w:ascii="Times New Roman" w:hAnsi="Times New Roman"/>
                <w:sz w:val="24"/>
                <w:szCs w:val="24"/>
                <w:lang w:eastAsia="zh-Hans"/>
              </w:rPr>
              <w:t>和</w:t>
            </w:r>
            <w:r>
              <w:rPr>
                <w:rFonts w:ascii="Times New Roman" w:hAnsi="Times New Roman"/>
                <w:sz w:val="24"/>
                <w:szCs w:val="24"/>
                <w:lang w:eastAsia="zh-Hans"/>
              </w:rPr>
              <w:t>GIP</w:t>
            </w:r>
            <w:r>
              <w:rPr>
                <w:rFonts w:hint="eastAsia" w:ascii="Times New Roman" w:hAnsi="Times New Roman"/>
                <w:sz w:val="24"/>
                <w:szCs w:val="24"/>
                <w:lang w:eastAsia="zh-Hans"/>
              </w:rPr>
              <w:t>将在本次交易后间接共同控制赛勒斯万。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75" w:hRule="atLeast"/>
        </w:trPr>
        <w:tc>
          <w:tcPr>
            <w:tcW w:w="1560" w:type="dxa"/>
            <w:vMerge w:val="restart"/>
            <w:shd w:val="clear" w:color="auto" w:fill="D9D9D9"/>
            <w:vAlign w:val="center"/>
          </w:tcPr>
          <w:p>
            <w:pPr>
              <w:snapToGrid w:val="0"/>
              <w:jc w:val="center"/>
              <w:rPr>
                <w:rFonts w:ascii="Times New Roman" w:hAnsi="Times New Roman"/>
                <w:b/>
                <w:color w:val="333333"/>
                <w:kern w:val="0"/>
                <w:sz w:val="24"/>
                <w:szCs w:val="24"/>
              </w:rPr>
            </w:pPr>
            <w:r>
              <w:rPr>
                <w:rFonts w:ascii="Times New Roman" w:hAnsi="Times New Roman"/>
                <w:b/>
                <w:color w:val="333333"/>
                <w:kern w:val="0"/>
                <w:sz w:val="24"/>
                <w:szCs w:val="24"/>
              </w:rPr>
              <w:t>参与集中的</w:t>
            </w:r>
          </w:p>
          <w:p>
            <w:pPr>
              <w:snapToGrid w:val="0"/>
              <w:jc w:val="center"/>
              <w:rPr>
                <w:rFonts w:ascii="Times New Roman" w:hAnsi="Times New Roman"/>
                <w:b/>
                <w:color w:val="333333"/>
                <w:kern w:val="0"/>
                <w:sz w:val="24"/>
                <w:szCs w:val="24"/>
              </w:rPr>
            </w:pPr>
            <w:r>
              <w:rPr>
                <w:rFonts w:ascii="Times New Roman" w:hAnsi="Times New Roman"/>
                <w:b/>
                <w:color w:val="333333"/>
                <w:kern w:val="0"/>
                <w:sz w:val="24"/>
                <w:szCs w:val="24"/>
              </w:rPr>
              <w:t>经营者简介</w:t>
            </w:r>
          </w:p>
        </w:tc>
        <w:tc>
          <w:tcPr>
            <w:tcW w:w="2030" w:type="dxa"/>
            <w:vAlign w:val="center"/>
          </w:tcPr>
          <w:p>
            <w:pPr>
              <w:snapToGrid w:val="0"/>
              <w:rPr>
                <w:rFonts w:ascii="Times New Roman" w:hAnsi="Times New Roman"/>
                <w:color w:val="333333"/>
                <w:kern w:val="0"/>
                <w:sz w:val="24"/>
                <w:szCs w:val="24"/>
              </w:rPr>
            </w:pPr>
            <w:r>
              <w:rPr>
                <w:rFonts w:hint="eastAsia" w:ascii="Times New Roman" w:hAnsi="Times New Roman"/>
                <w:color w:val="333333"/>
                <w:kern w:val="0"/>
                <w:sz w:val="24"/>
                <w:szCs w:val="24"/>
              </w:rPr>
              <w:t>KKR</w:t>
            </w:r>
          </w:p>
        </w:tc>
        <w:tc>
          <w:tcPr>
            <w:tcW w:w="4632" w:type="dxa"/>
            <w:vAlign w:val="center"/>
          </w:tcPr>
          <w:p>
            <w:pPr>
              <w:snapToGrid w:val="0"/>
              <w:rPr>
                <w:rFonts w:ascii="Times New Roman" w:hAnsi="Times New Roman"/>
                <w:color w:val="333333"/>
                <w:kern w:val="0"/>
                <w:sz w:val="24"/>
                <w:szCs w:val="24"/>
              </w:rPr>
            </w:pPr>
            <w:r>
              <w:rPr>
                <w:rFonts w:hint="eastAsia" w:ascii="Times New Roman" w:hAnsi="Times New Roman"/>
                <w:color w:val="000000" w:themeColor="text1"/>
                <w:kern w:val="0"/>
                <w:sz w:val="24"/>
                <w:szCs w:val="24"/>
                <w14:textFill>
                  <w14:solidFill>
                    <w14:schemeClr w14:val="tx1"/>
                  </w14:solidFill>
                </w14:textFill>
              </w:rPr>
              <w:t>KKR是一家全球性投资公司，提供另类资产管理、资本市场和保险解决方案等服务。KKR与管理对冲基金的战略伙伴一道，管理包括私募股权、信贷和房地产在内的各种另类资产</w:t>
            </w:r>
            <w:r>
              <w:rPr>
                <w:rFonts w:hint="eastAsia" w:ascii="Times New Roman" w:hAnsi="Times New Roman"/>
                <w:color w:val="333333"/>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8" w:hRule="exact"/>
        </w:trPr>
        <w:tc>
          <w:tcPr>
            <w:tcW w:w="1560" w:type="dxa"/>
            <w:vMerge w:val="continue"/>
            <w:shd w:val="clear" w:color="auto" w:fill="D9D9D9"/>
            <w:vAlign w:val="center"/>
          </w:tcPr>
          <w:p>
            <w:pPr>
              <w:snapToGrid w:val="0"/>
              <w:jc w:val="center"/>
              <w:rPr>
                <w:rFonts w:ascii="Times New Roman" w:hAnsi="Times New Roman"/>
                <w:b/>
                <w:color w:val="333333"/>
                <w:kern w:val="0"/>
                <w:sz w:val="24"/>
                <w:szCs w:val="24"/>
              </w:rPr>
            </w:pPr>
          </w:p>
        </w:tc>
        <w:tc>
          <w:tcPr>
            <w:tcW w:w="2030" w:type="dxa"/>
            <w:vAlign w:val="center"/>
          </w:tcPr>
          <w:p>
            <w:pPr>
              <w:snapToGrid w:val="0"/>
              <w:rPr>
                <w:rFonts w:ascii="Times New Roman" w:hAnsi="Times New Roman"/>
                <w:color w:val="333333"/>
                <w:kern w:val="0"/>
                <w:sz w:val="24"/>
                <w:szCs w:val="24"/>
              </w:rPr>
            </w:pPr>
            <w:r>
              <w:rPr>
                <w:rFonts w:ascii="Times New Roman" w:hAnsi="Times New Roman"/>
                <w:color w:val="333333"/>
                <w:kern w:val="0"/>
                <w:sz w:val="24"/>
                <w:szCs w:val="24"/>
              </w:rPr>
              <w:t>GIP</w:t>
            </w:r>
          </w:p>
        </w:tc>
        <w:tc>
          <w:tcPr>
            <w:tcW w:w="4632" w:type="dxa"/>
            <w:vAlign w:val="center"/>
          </w:tcPr>
          <w:p>
            <w:pPr>
              <w:widowControl/>
              <w:snapToGrid w:val="0"/>
              <w:rPr>
                <w:lang w:eastAsia="zh-Hans"/>
              </w:rPr>
            </w:pPr>
            <w:r>
              <w:rPr>
                <w:rFonts w:ascii="Times New Roman Regular" w:hAnsi="Times New Roman Regular" w:cs="Times New Roman Regular"/>
                <w:sz w:val="24"/>
                <w:szCs w:val="24"/>
                <w:lang w:eastAsia="zh-Hans"/>
              </w:rPr>
              <w:t>GIP</w:t>
            </w:r>
            <w:r>
              <w:rPr>
                <w:rFonts w:ascii="Times New Roman Regular" w:hAnsi="Times New Roman Regular" w:cs="Times New Roman Regular"/>
                <w:sz w:val="24"/>
                <w:szCs w:val="24"/>
                <w:lang w:eastAsia="zh-Hans"/>
              </w:rPr>
              <w:t>总部位于纽约，是一家独立基础设施基金管理公司，其投资并管理资产，主要侧重于交通、能源、废弃物和水处理行业。</w:t>
            </w:r>
            <w:r>
              <w:rPr>
                <w:rFonts w:ascii="Times New Roman Regular" w:hAnsi="Times New Roman Regular" w:cs="Times New Roman Regular"/>
                <w:sz w:val="24"/>
                <w:szCs w:val="24"/>
                <w:lang w:eastAsia="zh-Hans"/>
              </w:rPr>
              <w:t>GIP</w:t>
            </w:r>
            <w:r>
              <w:rPr>
                <w:rFonts w:ascii="Times New Roman Regular" w:hAnsi="Times New Roman Regular" w:cs="Times New Roman Regular"/>
                <w:sz w:val="24"/>
                <w:szCs w:val="24"/>
                <w:lang w:eastAsia="zh-Hans"/>
              </w:rPr>
              <w:t>的客户主要是各类养老基金、主权财富基金、金融机构和其他投资者。</w:t>
            </w:r>
            <w:r>
              <w:rPr>
                <w:rFonts w:ascii="Times New Roman Regular" w:hAnsi="Times New Roman Regular" w:cs="Times New Roman Regular"/>
                <w:sz w:val="24"/>
                <w:szCs w:val="24"/>
                <w:lang w:eastAsia="zh-Hans"/>
              </w:rPr>
              <w:t>GIP</w:t>
            </w:r>
            <w:r>
              <w:rPr>
                <w:rFonts w:ascii="Times New Roman Regular" w:hAnsi="Times New Roman Regular" w:cs="Times New Roman Regular"/>
                <w:sz w:val="24"/>
                <w:szCs w:val="24"/>
                <w:lang w:eastAsia="zh-Hans"/>
              </w:rPr>
              <w:t>的主要目标包括协助投资组合公司进行能够在其退出持股后依然长期有效的运营优化。</w:t>
            </w:r>
          </w:p>
          <w:p>
            <w:pPr>
              <w:snapToGrid w:val="0"/>
              <w:rPr>
                <w:rFonts w:ascii="Times New Roman" w:hAnsi="Times New Roman"/>
                <w:color w:val="333333"/>
                <w:kern w:val="0"/>
                <w:sz w:val="24"/>
                <w:szCs w:val="24"/>
              </w:rPr>
            </w:pPr>
            <w:r>
              <w:rPr>
                <w:rFonts w:ascii="Times New Roman Regular" w:hAnsi="Times New Roman Regular" w:cs="Times New Roman Regular"/>
                <w:sz w:val="24"/>
                <w:szCs w:val="24"/>
                <w:lang w:eastAsia="zh-Hans"/>
              </w:rPr>
              <w:t>有关</w:t>
            </w:r>
            <w:r>
              <w:rPr>
                <w:rFonts w:ascii="Times New Roman Regular" w:hAnsi="Times New Roman Regular" w:cs="Times New Roman Regular"/>
                <w:sz w:val="24"/>
                <w:szCs w:val="24"/>
                <w:lang w:eastAsia="zh-Hans"/>
              </w:rPr>
              <w:t>GIP</w:t>
            </w:r>
            <w:r>
              <w:rPr>
                <w:rFonts w:ascii="Times New Roman Regular" w:hAnsi="Times New Roman Regular" w:cs="Times New Roman Regular"/>
                <w:sz w:val="24"/>
                <w:szCs w:val="24"/>
                <w:lang w:eastAsia="zh-Hans"/>
              </w:rPr>
              <w:t>的更多信息，请参见：</w:t>
            </w:r>
            <w:r>
              <w:fldChar w:fldCharType="begin"/>
            </w:r>
            <w:r>
              <w:instrText xml:space="preserve"> HYPERLINK "https://www.global-infra.com/about/" </w:instrText>
            </w:r>
            <w:r>
              <w:fldChar w:fldCharType="separate"/>
            </w:r>
            <w:r>
              <w:rPr>
                <w:rStyle w:val="9"/>
                <w:rFonts w:ascii="Times New Roman Regular" w:hAnsi="Times New Roman Regular" w:cs="Times New Roman Regular"/>
                <w:sz w:val="24"/>
                <w:szCs w:val="24"/>
                <w:lang w:eastAsia="zh-Hans"/>
              </w:rPr>
              <w:t>https://www.global-infra.com/about/</w:t>
            </w:r>
            <w:r>
              <w:rPr>
                <w:rStyle w:val="9"/>
                <w:rFonts w:ascii="Times New Roman Regular" w:hAnsi="Times New Roman Regular" w:cs="Times New Roman Regular"/>
                <w:sz w:val="24"/>
                <w:szCs w:val="24"/>
                <w:lang w:eastAsia="zh-Hans"/>
              </w:rPr>
              <w:fldChar w:fldCharType="end"/>
            </w:r>
            <w:r>
              <w:rPr>
                <w:rStyle w:val="9"/>
                <w:rFonts w:ascii="Times New Roman Regular" w:hAnsi="Times New Roman Regular" w:cs="Times New Roman Regular"/>
                <w:sz w:val="24"/>
                <w:szCs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5" w:hRule="exact"/>
        </w:trPr>
        <w:tc>
          <w:tcPr>
            <w:tcW w:w="1560" w:type="dxa"/>
            <w:vMerge w:val="continue"/>
            <w:shd w:val="clear" w:color="auto" w:fill="D9D9D9"/>
            <w:vAlign w:val="center"/>
          </w:tcPr>
          <w:p>
            <w:pPr>
              <w:snapToGrid w:val="0"/>
              <w:jc w:val="center"/>
              <w:rPr>
                <w:rFonts w:ascii="Times New Roman" w:hAnsi="Times New Roman"/>
                <w:b/>
                <w:color w:val="333333"/>
                <w:kern w:val="0"/>
                <w:sz w:val="24"/>
                <w:szCs w:val="24"/>
              </w:rPr>
            </w:pPr>
          </w:p>
        </w:tc>
        <w:tc>
          <w:tcPr>
            <w:tcW w:w="2030" w:type="dxa"/>
            <w:vAlign w:val="center"/>
          </w:tcPr>
          <w:p>
            <w:pPr>
              <w:snapToGrid w:val="0"/>
              <w:rPr>
                <w:rFonts w:ascii="Times New Roman Regular" w:hAnsi="Times New Roman Regular" w:cs="Times New Roman Regular"/>
                <w:kern w:val="0"/>
                <w:sz w:val="24"/>
                <w:szCs w:val="24"/>
                <w:lang w:eastAsia="zh-Hans"/>
              </w:rPr>
            </w:pPr>
            <w:r>
              <w:rPr>
                <w:rFonts w:hint="eastAsia" w:ascii="Times New Roman" w:hAnsi="Times New Roman"/>
                <w:sz w:val="24"/>
                <w:szCs w:val="24"/>
                <w:lang w:eastAsia="zh-Hans"/>
              </w:rPr>
              <w:t>赛勒斯万</w:t>
            </w:r>
          </w:p>
        </w:tc>
        <w:tc>
          <w:tcPr>
            <w:tcW w:w="4632" w:type="dxa"/>
            <w:vAlign w:val="center"/>
          </w:tcPr>
          <w:p>
            <w:pPr>
              <w:snapToGrid w:val="0"/>
              <w:rPr>
                <w:rFonts w:ascii="Times New Roman Regular" w:hAnsi="Times New Roman Regular" w:cs="Times New Roman Regular"/>
                <w:sz w:val="24"/>
                <w:szCs w:val="24"/>
                <w:lang w:eastAsia="zh-Hans"/>
              </w:rPr>
            </w:pPr>
            <w:r>
              <w:rPr>
                <w:rFonts w:hint="eastAsia" w:ascii="Times New Roman Regular" w:hAnsi="Times New Roman Regular" w:cs="Times New Roman Regular"/>
                <w:sz w:val="24"/>
                <w:szCs w:val="24"/>
                <w:lang w:eastAsia="zh-Hans"/>
              </w:rPr>
              <w:t>赛勒斯万是一家地产投资信托基金，在美国和欧洲持有、运营和开发独立于运营商之外的、面向多租户与单租户的企业级数据中心设施。赛勒斯万的数据中心设施是专业化且高度安全的地产资产，为美国和欧洲多个企业和大规模客户集中部署服务器以及存储和网络设备。赛勒斯万的数据中心为客户提供空间、电力、冷却和网络连接，以保障信息技术基础设施的持续运行。赛勒斯万在欧洲的运营数据中心位于法国、德国、爱尔兰、荷兰和英国，位于西班牙的数据中心仍在建设中。赛勒斯万在美国也有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1560" w:type="dxa"/>
            <w:vMerge w:val="restart"/>
            <w:shd w:val="clear" w:color="auto" w:fill="D9D9D9"/>
            <w:vAlign w:val="center"/>
          </w:tcPr>
          <w:p>
            <w:pPr>
              <w:snapToGrid w:val="0"/>
              <w:jc w:val="center"/>
              <w:rPr>
                <w:rFonts w:ascii="Times New Roman" w:hAnsi="Times New Roman"/>
                <w:b/>
                <w:color w:val="333333"/>
                <w:kern w:val="0"/>
                <w:sz w:val="24"/>
                <w:szCs w:val="24"/>
              </w:rPr>
            </w:pPr>
            <w:r>
              <w:rPr>
                <w:rFonts w:ascii="Times New Roman" w:hAnsi="Times New Roman"/>
                <w:b/>
                <w:color w:val="333333"/>
                <w:kern w:val="0"/>
                <w:sz w:val="24"/>
                <w:szCs w:val="24"/>
              </w:rPr>
              <w:t>简易案件理由（可以单选，也可以多选）</w:t>
            </w:r>
          </w:p>
        </w:tc>
        <w:tc>
          <w:tcPr>
            <w:tcW w:w="6662" w:type="dxa"/>
            <w:gridSpan w:val="2"/>
            <w:vAlign w:val="center"/>
          </w:tcPr>
          <w:p>
            <w:pPr>
              <w:snapToGrid w:val="0"/>
              <w:rPr>
                <w:rFonts w:ascii="Times New Roman" w:hAnsi="Times New Roman"/>
                <w:color w:val="333333"/>
                <w:kern w:val="0"/>
                <w:sz w:val="24"/>
                <w:szCs w:val="24"/>
              </w:rPr>
            </w:pPr>
            <w:r>
              <w:rPr>
                <w:rFonts w:ascii="Times New Roman" w:hAnsi="Times New Roman"/>
                <w:sz w:val="24"/>
                <w:szCs w:val="24"/>
                <w:lang w:val="en-GB"/>
              </w:rPr>
              <w:sym w:font="Wingdings" w:char="F0A8"/>
            </w:r>
            <w:r>
              <w:rPr>
                <w:rFonts w:ascii="Times New Roman" w:hAnsi="Times New Roman"/>
                <w:sz w:val="24"/>
                <w:szCs w:val="24"/>
              </w:rPr>
              <w:t xml:space="preserve"> </w:t>
            </w:r>
            <w:r>
              <w:rPr>
                <w:rFonts w:ascii="Times New Roman" w:hAnsi="Times New Roman"/>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 w:hRule="atLeast"/>
        </w:trPr>
        <w:tc>
          <w:tcPr>
            <w:tcW w:w="1560" w:type="dxa"/>
            <w:vMerge w:val="continue"/>
            <w:shd w:val="clear" w:color="auto" w:fill="D9D9D9"/>
            <w:vAlign w:val="center"/>
          </w:tcPr>
          <w:p>
            <w:pPr>
              <w:snapToGrid w:val="0"/>
              <w:jc w:val="center"/>
              <w:rPr>
                <w:rFonts w:ascii="Times New Roman" w:hAnsi="Times New Roman"/>
                <w:b/>
                <w:color w:val="333333"/>
                <w:kern w:val="0"/>
                <w:sz w:val="24"/>
                <w:szCs w:val="24"/>
              </w:rPr>
            </w:pPr>
          </w:p>
        </w:tc>
        <w:tc>
          <w:tcPr>
            <w:tcW w:w="6662" w:type="dxa"/>
            <w:gridSpan w:val="2"/>
            <w:vAlign w:val="center"/>
          </w:tcPr>
          <w:p>
            <w:pPr>
              <w:snapToGrid w:val="0"/>
              <w:rPr>
                <w:rFonts w:ascii="Times New Roman" w:hAnsi="Times New Roman"/>
                <w:color w:val="333333"/>
                <w:kern w:val="0"/>
                <w:sz w:val="24"/>
                <w:szCs w:val="24"/>
              </w:rPr>
            </w:pPr>
            <w:r>
              <w:rPr>
                <w:rFonts w:ascii="Times New Roman" w:hAnsi="Times New Roman"/>
                <w:sz w:val="24"/>
                <w:szCs w:val="24"/>
                <w:lang w:val="en-GB"/>
              </w:rPr>
              <w:sym w:font="Wingdings" w:char="F0A8"/>
            </w:r>
            <w:r>
              <w:rPr>
                <w:rFonts w:ascii="Times New Roman" w:hAnsi="Times New Roman"/>
                <w:sz w:val="24"/>
                <w:szCs w:val="24"/>
              </w:rPr>
              <w:t xml:space="preserve"> </w:t>
            </w:r>
            <w:r>
              <w:rPr>
                <w:rFonts w:ascii="Times New Roman" w:hAnsi="Times New Roman"/>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1560" w:type="dxa"/>
            <w:vMerge w:val="continue"/>
            <w:shd w:val="clear" w:color="auto" w:fill="D9D9D9"/>
            <w:vAlign w:val="center"/>
          </w:tcPr>
          <w:p>
            <w:pPr>
              <w:snapToGrid w:val="0"/>
              <w:jc w:val="center"/>
              <w:rPr>
                <w:rFonts w:ascii="Times New Roman" w:hAnsi="Times New Roman"/>
                <w:b/>
                <w:color w:val="333333"/>
                <w:kern w:val="0"/>
                <w:sz w:val="24"/>
                <w:szCs w:val="24"/>
              </w:rPr>
            </w:pPr>
          </w:p>
        </w:tc>
        <w:tc>
          <w:tcPr>
            <w:tcW w:w="6662" w:type="dxa"/>
            <w:gridSpan w:val="2"/>
            <w:vAlign w:val="center"/>
          </w:tcPr>
          <w:p>
            <w:pPr>
              <w:snapToGrid w:val="0"/>
              <w:rPr>
                <w:rFonts w:ascii="Times New Roman" w:hAnsi="Times New Roman"/>
                <w:color w:val="333333"/>
                <w:kern w:val="0"/>
                <w:sz w:val="24"/>
                <w:szCs w:val="24"/>
              </w:rPr>
            </w:pPr>
            <w:r>
              <w:rPr>
                <w:rFonts w:eastAsia="黑体"/>
                <w:color w:val="000000"/>
                <w:sz w:val="24"/>
                <w:szCs w:val="24"/>
              </w:rPr>
              <w:sym w:font="Wingdings" w:char="00A8"/>
            </w:r>
            <w:r>
              <w:rPr>
                <w:rFonts w:ascii="Times New Roman" w:hAnsi="Times New Roman"/>
                <w:sz w:val="24"/>
                <w:szCs w:val="24"/>
                <w:lang w:val="en-GB"/>
              </w:rPr>
              <w:t xml:space="preserve"> </w:t>
            </w:r>
            <w:r>
              <w:rPr>
                <w:rFonts w:ascii="Times New Roman" w:hAnsi="Times New Roman"/>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trPr>
        <w:tc>
          <w:tcPr>
            <w:tcW w:w="1560" w:type="dxa"/>
            <w:vMerge w:val="continue"/>
            <w:shd w:val="clear" w:color="auto" w:fill="D9D9D9"/>
            <w:vAlign w:val="center"/>
          </w:tcPr>
          <w:p>
            <w:pPr>
              <w:snapToGrid w:val="0"/>
              <w:jc w:val="center"/>
              <w:rPr>
                <w:rFonts w:ascii="Times New Roman" w:hAnsi="Times New Roman"/>
                <w:b/>
                <w:color w:val="333333"/>
                <w:kern w:val="0"/>
                <w:sz w:val="24"/>
                <w:szCs w:val="24"/>
              </w:rPr>
            </w:pPr>
          </w:p>
        </w:tc>
        <w:tc>
          <w:tcPr>
            <w:tcW w:w="6662" w:type="dxa"/>
            <w:gridSpan w:val="2"/>
            <w:vAlign w:val="center"/>
          </w:tcPr>
          <w:p>
            <w:pPr>
              <w:snapToGrid w:val="0"/>
              <w:rPr>
                <w:rFonts w:ascii="Times New Roman" w:hAnsi="Times New Roman"/>
                <w:color w:val="333333"/>
                <w:kern w:val="0"/>
                <w:sz w:val="24"/>
                <w:szCs w:val="24"/>
              </w:rPr>
            </w:pPr>
            <w:r>
              <w:rPr>
                <w:rFonts w:ascii="Times New Roman" w:hAnsi="Times New Roman"/>
                <w:sz w:val="24"/>
                <w:szCs w:val="24"/>
                <w:lang w:val="en-GB"/>
              </w:rPr>
              <w:sym w:font="Wingdings" w:char="F0A8"/>
            </w:r>
            <w:r>
              <w:rPr>
                <w:rFonts w:ascii="Times New Roman" w:hAnsi="Times New Roman"/>
                <w:sz w:val="24"/>
                <w:szCs w:val="24"/>
                <w:lang w:val="en-GB"/>
              </w:rPr>
              <w:t xml:space="preserve"> </w:t>
            </w:r>
            <w:r>
              <w:rPr>
                <w:rFonts w:ascii="Times New Roman" w:hAnsi="Times New Roman"/>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3" w:hRule="atLeast"/>
        </w:trPr>
        <w:tc>
          <w:tcPr>
            <w:tcW w:w="1560" w:type="dxa"/>
            <w:vMerge w:val="continue"/>
            <w:shd w:val="clear" w:color="auto" w:fill="D9D9D9"/>
            <w:vAlign w:val="center"/>
          </w:tcPr>
          <w:p>
            <w:pPr>
              <w:snapToGrid w:val="0"/>
              <w:jc w:val="center"/>
              <w:rPr>
                <w:rFonts w:ascii="Times New Roman" w:hAnsi="Times New Roman"/>
                <w:b/>
                <w:color w:val="333333"/>
                <w:kern w:val="0"/>
                <w:sz w:val="24"/>
                <w:szCs w:val="24"/>
              </w:rPr>
            </w:pPr>
          </w:p>
        </w:tc>
        <w:tc>
          <w:tcPr>
            <w:tcW w:w="6662" w:type="dxa"/>
            <w:gridSpan w:val="2"/>
            <w:vAlign w:val="center"/>
          </w:tcPr>
          <w:p>
            <w:pPr>
              <w:snapToGrid w:val="0"/>
              <w:rPr>
                <w:rFonts w:ascii="Times New Roman" w:hAnsi="Times New Roman"/>
                <w:color w:val="333333"/>
                <w:kern w:val="0"/>
                <w:sz w:val="24"/>
                <w:szCs w:val="24"/>
              </w:rPr>
            </w:pPr>
            <w:r>
              <w:rPr>
                <w:rFonts w:ascii="Times New Roman" w:hAnsi="Times New Roman"/>
                <w:sz w:val="24"/>
                <w:szCs w:val="24"/>
                <w:lang w:val="en-GB"/>
              </w:rPr>
              <w:sym w:font="Wingdings" w:char="00FE"/>
            </w:r>
            <w:r>
              <w:rPr>
                <w:rFonts w:ascii="Times New Roman" w:hAnsi="Times New Roman"/>
                <w:sz w:val="24"/>
                <w:szCs w:val="24"/>
                <w:lang w:val="en-GB"/>
              </w:rPr>
              <w:t xml:space="preserve"> </w:t>
            </w:r>
            <w:r>
              <w:rPr>
                <w:rFonts w:ascii="Times New Roman" w:hAnsi="Times New Roman"/>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trPr>
        <w:tc>
          <w:tcPr>
            <w:tcW w:w="1560" w:type="dxa"/>
            <w:vMerge w:val="continue"/>
            <w:shd w:val="clear" w:color="auto" w:fill="D9D9D9"/>
            <w:vAlign w:val="center"/>
          </w:tcPr>
          <w:p>
            <w:pPr>
              <w:snapToGrid w:val="0"/>
              <w:jc w:val="center"/>
              <w:rPr>
                <w:rFonts w:ascii="Times New Roman" w:hAnsi="Times New Roman"/>
                <w:b/>
                <w:color w:val="333333"/>
                <w:kern w:val="0"/>
                <w:sz w:val="24"/>
                <w:szCs w:val="24"/>
              </w:rPr>
            </w:pPr>
          </w:p>
        </w:tc>
        <w:tc>
          <w:tcPr>
            <w:tcW w:w="6662" w:type="dxa"/>
            <w:gridSpan w:val="2"/>
            <w:vAlign w:val="center"/>
          </w:tcPr>
          <w:p>
            <w:pPr>
              <w:snapToGrid w:val="0"/>
              <w:rPr>
                <w:rFonts w:ascii="Times New Roman" w:hAnsi="Times New Roman"/>
                <w:color w:val="333333"/>
                <w:kern w:val="0"/>
                <w:sz w:val="24"/>
                <w:szCs w:val="24"/>
              </w:rPr>
            </w:pPr>
            <w:r>
              <w:rPr>
                <w:rFonts w:ascii="Times New Roman" w:hAnsi="Times New Roman"/>
                <w:sz w:val="24"/>
                <w:szCs w:val="24"/>
                <w:lang w:val="en-GB"/>
              </w:rPr>
              <w:sym w:font="Wingdings" w:char="F0A8"/>
            </w:r>
            <w:r>
              <w:rPr>
                <w:rFonts w:ascii="Times New Roman" w:hAnsi="Times New Roman"/>
                <w:sz w:val="24"/>
                <w:szCs w:val="24"/>
                <w:lang w:val="en-GB"/>
              </w:rPr>
              <w:t xml:space="preserve"> </w:t>
            </w:r>
            <w:r>
              <w:rPr>
                <w:rFonts w:ascii="Times New Roman" w:hAnsi="Times New Roman"/>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 w:hRule="atLeast"/>
        </w:trPr>
        <w:tc>
          <w:tcPr>
            <w:tcW w:w="1560" w:type="dxa"/>
            <w:shd w:val="clear" w:color="auto" w:fill="D9D9D9"/>
            <w:vAlign w:val="center"/>
          </w:tcPr>
          <w:p>
            <w:pPr>
              <w:snapToGrid w:val="0"/>
              <w:jc w:val="center"/>
              <w:rPr>
                <w:rFonts w:ascii="Times New Roman" w:hAnsi="Times New Roman"/>
                <w:b/>
                <w:color w:val="333333"/>
                <w:kern w:val="0"/>
                <w:sz w:val="24"/>
                <w:szCs w:val="24"/>
              </w:rPr>
            </w:pPr>
            <w:r>
              <w:rPr>
                <w:rFonts w:ascii="Times New Roman" w:hAnsi="Times New Roman"/>
                <w:b/>
                <w:color w:val="333333"/>
                <w:kern w:val="0"/>
                <w:sz w:val="24"/>
                <w:szCs w:val="24"/>
              </w:rPr>
              <w:t>备注</w:t>
            </w:r>
          </w:p>
        </w:tc>
        <w:tc>
          <w:tcPr>
            <w:tcW w:w="6662" w:type="dxa"/>
            <w:gridSpan w:val="2"/>
            <w:vAlign w:val="center"/>
          </w:tcPr>
          <w:p>
            <w:pPr>
              <w:pStyle w:val="2"/>
              <w:snapToGrid w:val="0"/>
              <w:spacing w:after="0"/>
              <w:ind w:left="0"/>
              <w:jc w:val="left"/>
              <w:rPr>
                <w:lang w:eastAsia="zh-Hans"/>
              </w:rPr>
            </w:pPr>
            <w:r>
              <w:rPr>
                <w:rFonts w:hint="eastAsia" w:ascii="Times New Roman" w:hAnsi="Times New Roman"/>
                <w:color w:val="333333"/>
                <w:kern w:val="0"/>
                <w:sz w:val="24"/>
                <w:szCs w:val="24"/>
                <w:lang w:eastAsia="zh-Hans"/>
              </w:rPr>
              <w:t>不适用</w:t>
            </w:r>
          </w:p>
        </w:tc>
      </w:tr>
    </w:tbl>
    <w:p>
      <w:pPr>
        <w:spacing w:line="360" w:lineRule="auto"/>
        <w:rPr>
          <w:rFonts w:ascii="Times New Roman" w:hAnsi="Times New Roman"/>
          <w:sz w:val="24"/>
          <w:szCs w:val="2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Times New Roman Regular">
    <w:panose1 w:val="02020503050405090304"/>
    <w:charset w:val="00"/>
    <w:family w:val="auto"/>
    <w:pitch w:val="default"/>
    <w:sig w:usb0="E0000AFF" w:usb1="00007843" w:usb2="00000001" w:usb3="00000000" w:csb0="400001BF" w:csb1="DFF70000"/>
  </w:font>
  <w:font w:name="Times New Roman Bold">
    <w:panose1 w:val="02020503050405090304"/>
    <w:charset w:val="00"/>
    <w:family w:val="roman"/>
    <w:pitch w:val="default"/>
    <w:sig w:usb0="E0000AFF" w:usb1="0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黑体">
    <w:altName w:val="汉仪中黑KW"/>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等线">
    <w:altName w:val="汉仪中等线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仿宋_GB2312">
    <w:altName w:val="方正仿宋_GBK"/>
    <w:panose1 w:val="00000000000000000000"/>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9" w:usb3="00000000" w:csb0="000001FF"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101932355"/>
    </w:sdtPr>
    <w:sdtEndPr>
      <w:rPr>
        <w:rStyle w:val="8"/>
      </w:rPr>
    </w:sdtEndPr>
    <w:sdtContent>
      <w:p>
        <w:pPr>
          <w:pStyle w:val="4"/>
          <w:framePr w:wrap="around" w:vAnchor="text" w:hAnchor="margin" w:xAlign="center" w:y="1"/>
          <w:rPr>
            <w:rStyle w:val="8"/>
          </w:rPr>
        </w:pPr>
        <w:r>
          <w:rPr>
            <w:rStyle w:val="8"/>
          </w:rPr>
          <w:fldChar w:fldCharType="begin"/>
        </w:r>
        <w:r>
          <w:rPr>
            <w:rStyle w:val="8"/>
          </w:rPr>
          <w:instrText xml:space="preserve"> PAGE </w:instrText>
        </w:r>
        <w:r>
          <w:rPr>
            <w:rStyle w:val="8"/>
          </w:rPr>
          <w:fldChar w:fldCharType="separate"/>
        </w:r>
        <w:r>
          <w:rPr>
            <w:rStyle w:val="8"/>
          </w:rPr>
          <w:t>1</w:t>
        </w:r>
        <w:r>
          <w:rPr>
            <w:rStyle w:val="8"/>
          </w:rPr>
          <w:fldChar w:fldCharType="end"/>
        </w:r>
      </w:p>
    </w:sdtContent>
  </w:sdt>
  <w:p>
    <w:pPr>
      <w:pStyle w:val="4"/>
      <w:rPr>
        <w:rFonts w:ascii="Times New Roman" w:hAnsi="Times New Roman"/>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1036383314"/>
    </w:sdtPr>
    <w:sdtEndPr>
      <w:rPr>
        <w:rStyle w:val="8"/>
      </w:rPr>
    </w:sdtEndPr>
    <w:sdtContent>
      <w:p>
        <w:pPr>
          <w:pStyle w:val="4"/>
          <w:framePr w:wrap="around" w:vAnchor="text" w:hAnchor="margin" w:xAlign="center" w:y="1"/>
          <w:rPr>
            <w:rStyle w:val="8"/>
          </w:rPr>
        </w:pPr>
        <w:r>
          <w:rPr>
            <w:rStyle w:val="8"/>
          </w:rPr>
          <w:fldChar w:fldCharType="begin"/>
        </w:r>
        <w:r>
          <w:rPr>
            <w:rStyle w:val="8"/>
          </w:rPr>
          <w:instrText xml:space="preserve"> PAGE </w:instrText>
        </w:r>
        <w:r>
          <w:rPr>
            <w:rStyle w:val="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0MrU0NTKyMDQwMLBQ0lEKTi0uzszPAykwrgUAdmZOCCwAAAA="/>
  </w:docVars>
  <w:rsids>
    <w:rsidRoot w:val="00CB00DF"/>
    <w:rsid w:val="000008A2"/>
    <w:rsid w:val="00007E12"/>
    <w:rsid w:val="00015F7E"/>
    <w:rsid w:val="00023448"/>
    <w:rsid w:val="00033726"/>
    <w:rsid w:val="00037065"/>
    <w:rsid w:val="00037393"/>
    <w:rsid w:val="000621C8"/>
    <w:rsid w:val="000805A7"/>
    <w:rsid w:val="0008285B"/>
    <w:rsid w:val="000A1753"/>
    <w:rsid w:val="000B1EFE"/>
    <w:rsid w:val="000B3AF7"/>
    <w:rsid w:val="000C33EC"/>
    <w:rsid w:val="000C4477"/>
    <w:rsid w:val="000D7EBA"/>
    <w:rsid w:val="0010363A"/>
    <w:rsid w:val="001074DB"/>
    <w:rsid w:val="001075C2"/>
    <w:rsid w:val="00113BAE"/>
    <w:rsid w:val="001164CD"/>
    <w:rsid w:val="001219EB"/>
    <w:rsid w:val="001243D9"/>
    <w:rsid w:val="00155717"/>
    <w:rsid w:val="00160E61"/>
    <w:rsid w:val="00174FB0"/>
    <w:rsid w:val="0017686F"/>
    <w:rsid w:val="001837A3"/>
    <w:rsid w:val="00187D5C"/>
    <w:rsid w:val="00192989"/>
    <w:rsid w:val="00193BC9"/>
    <w:rsid w:val="001D6662"/>
    <w:rsid w:val="001D7BA1"/>
    <w:rsid w:val="001F404F"/>
    <w:rsid w:val="0021315C"/>
    <w:rsid w:val="00221DC0"/>
    <w:rsid w:val="00244912"/>
    <w:rsid w:val="002553E5"/>
    <w:rsid w:val="00262C69"/>
    <w:rsid w:val="002665EA"/>
    <w:rsid w:val="00270CFB"/>
    <w:rsid w:val="002756C0"/>
    <w:rsid w:val="00282AB8"/>
    <w:rsid w:val="002840F8"/>
    <w:rsid w:val="0028527F"/>
    <w:rsid w:val="002B19C8"/>
    <w:rsid w:val="00306520"/>
    <w:rsid w:val="00310D7A"/>
    <w:rsid w:val="00327C1B"/>
    <w:rsid w:val="00330E53"/>
    <w:rsid w:val="003546D0"/>
    <w:rsid w:val="00374778"/>
    <w:rsid w:val="00376EF3"/>
    <w:rsid w:val="003A4719"/>
    <w:rsid w:val="003B759C"/>
    <w:rsid w:val="003C0AEB"/>
    <w:rsid w:val="003C575D"/>
    <w:rsid w:val="003D13C3"/>
    <w:rsid w:val="003D33C2"/>
    <w:rsid w:val="003D7240"/>
    <w:rsid w:val="003E7483"/>
    <w:rsid w:val="003F0F68"/>
    <w:rsid w:val="00403238"/>
    <w:rsid w:val="00431B69"/>
    <w:rsid w:val="004440BF"/>
    <w:rsid w:val="00460182"/>
    <w:rsid w:val="00460715"/>
    <w:rsid w:val="004A6903"/>
    <w:rsid w:val="004A74EA"/>
    <w:rsid w:val="004B7055"/>
    <w:rsid w:val="004C2A4E"/>
    <w:rsid w:val="004F6DFE"/>
    <w:rsid w:val="004F7688"/>
    <w:rsid w:val="00501C72"/>
    <w:rsid w:val="00507846"/>
    <w:rsid w:val="00517D6E"/>
    <w:rsid w:val="00527F83"/>
    <w:rsid w:val="005330AE"/>
    <w:rsid w:val="00536FFB"/>
    <w:rsid w:val="00546F6E"/>
    <w:rsid w:val="0057155A"/>
    <w:rsid w:val="00574E95"/>
    <w:rsid w:val="00577FEE"/>
    <w:rsid w:val="005A28D4"/>
    <w:rsid w:val="005C19BE"/>
    <w:rsid w:val="005C480C"/>
    <w:rsid w:val="005E03E0"/>
    <w:rsid w:val="005F3D2C"/>
    <w:rsid w:val="00630E72"/>
    <w:rsid w:val="006344D5"/>
    <w:rsid w:val="006467D8"/>
    <w:rsid w:val="00651F9C"/>
    <w:rsid w:val="00652DFD"/>
    <w:rsid w:val="006613CF"/>
    <w:rsid w:val="00661A6A"/>
    <w:rsid w:val="00664EE8"/>
    <w:rsid w:val="006A531B"/>
    <w:rsid w:val="006D0C1D"/>
    <w:rsid w:val="006E0315"/>
    <w:rsid w:val="006E090A"/>
    <w:rsid w:val="006E7350"/>
    <w:rsid w:val="006F6D0D"/>
    <w:rsid w:val="006F7693"/>
    <w:rsid w:val="00710140"/>
    <w:rsid w:val="007368D3"/>
    <w:rsid w:val="00747C43"/>
    <w:rsid w:val="00750E69"/>
    <w:rsid w:val="007634A9"/>
    <w:rsid w:val="00770406"/>
    <w:rsid w:val="00781530"/>
    <w:rsid w:val="00781FBE"/>
    <w:rsid w:val="00791F3B"/>
    <w:rsid w:val="00792DE6"/>
    <w:rsid w:val="0079392B"/>
    <w:rsid w:val="00795B68"/>
    <w:rsid w:val="007B0601"/>
    <w:rsid w:val="007B1376"/>
    <w:rsid w:val="007D4B97"/>
    <w:rsid w:val="007E3AA2"/>
    <w:rsid w:val="007F2275"/>
    <w:rsid w:val="00826D44"/>
    <w:rsid w:val="00863DD9"/>
    <w:rsid w:val="008757A0"/>
    <w:rsid w:val="00897E60"/>
    <w:rsid w:val="008A5D31"/>
    <w:rsid w:val="008C1F60"/>
    <w:rsid w:val="008D6F90"/>
    <w:rsid w:val="008E1316"/>
    <w:rsid w:val="0090484C"/>
    <w:rsid w:val="00913CC5"/>
    <w:rsid w:val="00914BB4"/>
    <w:rsid w:val="00914C14"/>
    <w:rsid w:val="00915F0F"/>
    <w:rsid w:val="00925DD4"/>
    <w:rsid w:val="00940FA2"/>
    <w:rsid w:val="009532DF"/>
    <w:rsid w:val="00970077"/>
    <w:rsid w:val="009716B1"/>
    <w:rsid w:val="0097361C"/>
    <w:rsid w:val="009775EB"/>
    <w:rsid w:val="0098549D"/>
    <w:rsid w:val="00994C75"/>
    <w:rsid w:val="00997019"/>
    <w:rsid w:val="009A5029"/>
    <w:rsid w:val="009B2582"/>
    <w:rsid w:val="009D2953"/>
    <w:rsid w:val="009D38D5"/>
    <w:rsid w:val="00A01E75"/>
    <w:rsid w:val="00A209CF"/>
    <w:rsid w:val="00A232E7"/>
    <w:rsid w:val="00A3629B"/>
    <w:rsid w:val="00A45A34"/>
    <w:rsid w:val="00A53F26"/>
    <w:rsid w:val="00A60D74"/>
    <w:rsid w:val="00A62FD3"/>
    <w:rsid w:val="00A738A5"/>
    <w:rsid w:val="00A859F5"/>
    <w:rsid w:val="00AA06A4"/>
    <w:rsid w:val="00AA0CC5"/>
    <w:rsid w:val="00AA4B98"/>
    <w:rsid w:val="00AD1134"/>
    <w:rsid w:val="00AD4346"/>
    <w:rsid w:val="00AE66F4"/>
    <w:rsid w:val="00AE7500"/>
    <w:rsid w:val="00AF347F"/>
    <w:rsid w:val="00AF73B9"/>
    <w:rsid w:val="00B05F2C"/>
    <w:rsid w:val="00B0718F"/>
    <w:rsid w:val="00B16AB0"/>
    <w:rsid w:val="00B16AFE"/>
    <w:rsid w:val="00B318AA"/>
    <w:rsid w:val="00B33424"/>
    <w:rsid w:val="00B34FA8"/>
    <w:rsid w:val="00B40C02"/>
    <w:rsid w:val="00B42D28"/>
    <w:rsid w:val="00B65DD5"/>
    <w:rsid w:val="00B80621"/>
    <w:rsid w:val="00BA4781"/>
    <w:rsid w:val="00BA4F4C"/>
    <w:rsid w:val="00BB4B0E"/>
    <w:rsid w:val="00BD10B6"/>
    <w:rsid w:val="00BF0375"/>
    <w:rsid w:val="00BF04EE"/>
    <w:rsid w:val="00C02B30"/>
    <w:rsid w:val="00C07076"/>
    <w:rsid w:val="00C22854"/>
    <w:rsid w:val="00C34349"/>
    <w:rsid w:val="00C37318"/>
    <w:rsid w:val="00C6435F"/>
    <w:rsid w:val="00C7145B"/>
    <w:rsid w:val="00C84AC2"/>
    <w:rsid w:val="00C8621B"/>
    <w:rsid w:val="00C930E6"/>
    <w:rsid w:val="00CA2702"/>
    <w:rsid w:val="00CB00DF"/>
    <w:rsid w:val="00CB417F"/>
    <w:rsid w:val="00CB562C"/>
    <w:rsid w:val="00CD267A"/>
    <w:rsid w:val="00D12E41"/>
    <w:rsid w:val="00D24615"/>
    <w:rsid w:val="00D36758"/>
    <w:rsid w:val="00D40A98"/>
    <w:rsid w:val="00D73C72"/>
    <w:rsid w:val="00D81806"/>
    <w:rsid w:val="00D90D2F"/>
    <w:rsid w:val="00DA04B8"/>
    <w:rsid w:val="00DB5728"/>
    <w:rsid w:val="00DE2572"/>
    <w:rsid w:val="00E0592B"/>
    <w:rsid w:val="00E152D6"/>
    <w:rsid w:val="00E31738"/>
    <w:rsid w:val="00E4031B"/>
    <w:rsid w:val="00E41679"/>
    <w:rsid w:val="00E86786"/>
    <w:rsid w:val="00E9767B"/>
    <w:rsid w:val="00ED18BB"/>
    <w:rsid w:val="00ED2F80"/>
    <w:rsid w:val="00ED6CCB"/>
    <w:rsid w:val="00EE0209"/>
    <w:rsid w:val="00EE2D3F"/>
    <w:rsid w:val="00EE396D"/>
    <w:rsid w:val="00F1624E"/>
    <w:rsid w:val="00F32F8A"/>
    <w:rsid w:val="00F42A51"/>
    <w:rsid w:val="00F810AA"/>
    <w:rsid w:val="00F906D4"/>
    <w:rsid w:val="00FB43EC"/>
    <w:rsid w:val="00FB6B40"/>
    <w:rsid w:val="00FC39F1"/>
    <w:rsid w:val="00FE20AC"/>
    <w:rsid w:val="00FF1905"/>
    <w:rsid w:val="57FF8B87"/>
    <w:rsid w:val="627D40F2"/>
    <w:rsid w:val="6C5F4EDC"/>
    <w:rsid w:val="6D7E4210"/>
    <w:rsid w:val="7D7D6117"/>
    <w:rsid w:val="FAFB30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keepNext/>
      <w:keepLines/>
      <w:tabs>
        <w:tab w:val="left" w:pos="6120"/>
      </w:tabs>
      <w:spacing w:after="240"/>
      <w:ind w:left="1080"/>
    </w:p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7"/>
    <w:qFormat/>
    <w:uiPriority w:val="0"/>
    <w:pPr>
      <w:snapToGrid w:val="0"/>
      <w:jc w:val="left"/>
    </w:pPr>
    <w:rPr>
      <w:rFonts w:ascii="Times New Roman" w:hAnsi="Times New Roman"/>
      <w:sz w:val="18"/>
      <w:szCs w:val="18"/>
    </w:rPr>
  </w:style>
  <w:style w:type="character" w:styleId="8">
    <w:name w:val="page number"/>
    <w:basedOn w:val="7"/>
    <w:unhideWhenUsed/>
    <w:qFormat/>
    <w:uiPriority w:val="99"/>
  </w:style>
  <w:style w:type="character" w:styleId="9">
    <w:name w:val="Hyperlink"/>
    <w:basedOn w:val="7"/>
    <w:unhideWhenUsed/>
    <w:qFormat/>
    <w:uiPriority w:val="99"/>
    <w:rPr>
      <w:color w:val="0000FF"/>
      <w:u w:val="single"/>
    </w:rPr>
  </w:style>
  <w:style w:type="character" w:styleId="10">
    <w:name w:val="footnote reference"/>
    <w:unhideWhenUsed/>
    <w:qFormat/>
    <w:uiPriority w:val="0"/>
    <w:rPr>
      <w:vertAlign w:val="superscript"/>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7"/>
    <w:link w:val="5"/>
    <w:qFormat/>
    <w:uiPriority w:val="99"/>
    <w:rPr>
      <w:rFonts w:ascii="Calibri" w:hAnsi="Calibri" w:eastAsia="宋体" w:cs="Times New Roman"/>
      <w:sz w:val="18"/>
      <w:szCs w:val="18"/>
    </w:rPr>
  </w:style>
  <w:style w:type="character" w:customStyle="1" w:styleId="14">
    <w:name w:val="页脚 字符"/>
    <w:basedOn w:val="7"/>
    <w:link w:val="4"/>
    <w:qFormat/>
    <w:uiPriority w:val="99"/>
    <w:rPr>
      <w:rFonts w:ascii="Calibri" w:hAnsi="Calibri" w:eastAsia="宋体" w:cs="Times New Roman"/>
      <w:sz w:val="18"/>
      <w:szCs w:val="18"/>
    </w:rPr>
  </w:style>
  <w:style w:type="character" w:customStyle="1" w:styleId="15">
    <w:name w:val="批注框文本 字符"/>
    <w:basedOn w:val="7"/>
    <w:link w:val="3"/>
    <w:semiHidden/>
    <w:qFormat/>
    <w:uiPriority w:val="99"/>
    <w:rPr>
      <w:rFonts w:ascii="Calibri" w:hAnsi="Calibri" w:eastAsia="宋体" w:cs="Times New Roman"/>
      <w:sz w:val="18"/>
      <w:szCs w:val="18"/>
    </w:rPr>
  </w:style>
  <w:style w:type="paragraph" w:customStyle="1" w:styleId="16">
    <w:name w:val="列表段落1"/>
    <w:basedOn w:val="1"/>
    <w:qFormat/>
    <w:uiPriority w:val="34"/>
    <w:pPr>
      <w:ind w:firstLine="420" w:firstLineChars="200"/>
    </w:pPr>
    <w:rPr>
      <w:rFonts w:ascii="Times New Roman" w:hAnsi="Times New Roman" w:eastAsiaTheme="minorEastAsia"/>
    </w:rPr>
  </w:style>
  <w:style w:type="character" w:customStyle="1" w:styleId="17">
    <w:name w:val="脚注文本 字符"/>
    <w:link w:val="6"/>
    <w:qFormat/>
    <w:uiPriority w:val="0"/>
    <w:rPr>
      <w:rFonts w:ascii="Times New Roman" w:hAnsi="Times New Roman" w:eastAsia="宋体" w:cs="Times New Roman"/>
      <w:sz w:val="18"/>
      <w:szCs w:val="18"/>
    </w:rPr>
  </w:style>
  <w:style w:type="character" w:customStyle="1" w:styleId="18">
    <w:name w:val="Footnote Text Char1"/>
    <w:basedOn w:val="7"/>
    <w:semiHidden/>
    <w:uiPriority w:val="99"/>
    <w:rPr>
      <w:rFonts w:ascii="Calibri" w:hAnsi="Calibri" w:eastAsia="宋体" w:cs="Times New Roman"/>
      <w:sz w:val="20"/>
      <w:szCs w:val="20"/>
    </w:rPr>
  </w:style>
  <w:style w:type="paragraph" w:customStyle="1" w:styleId="19">
    <w:name w:val="修订1"/>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918</Characters>
  <Lines>7</Lines>
  <Paragraphs>2</Paragraphs>
  <ScaleCrop>false</ScaleCrop>
  <LinksUpToDate>false</LinksUpToDate>
  <CharactersWithSpaces>1076</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2021-06-26T14:47:00Z</dcterms:created>
  <dc:creator>陈媚</dc:creator>
  <cp:lastModifiedBy>chuchen</cp:lastModifiedBy>
  <dcterms:modified xsi:type="dcterms:W3CDTF">2022-01-14T11:19:07Z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