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sz w:val="30"/>
          <w:szCs w:val="30"/>
        </w:rPr>
      </w:pPr>
      <w:bookmarkStart w:id="0" w:name="_GoBack"/>
      <w:bookmarkEnd w:id="0"/>
      <w:r>
        <w:rPr>
          <w:rFonts w:hint="eastAsia" w:ascii="黑体" w:hAnsi="Times New Roman" w:eastAsia="黑体"/>
          <w:sz w:val="30"/>
          <w:szCs w:val="30"/>
        </w:rPr>
        <w:t>经营者集中简易案件公示表</w:t>
      </w:r>
    </w:p>
    <w:tbl>
      <w:tblPr>
        <w:tblStyle w:val="9"/>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after="156" w:afterLines="50"/>
              <w:jc w:val="both"/>
              <w:rPr>
                <w:rFonts w:ascii="Times New Roman" w:hAnsi="Times New Roman"/>
                <w:szCs w:val="21"/>
              </w:rPr>
            </w:pPr>
            <w:r>
              <w:rPr>
                <w:rFonts w:ascii="Times New Roman" w:hAnsi="Times New Roman"/>
                <w:szCs w:val="21"/>
              </w:rPr>
              <w:t>案件名称</w:t>
            </w:r>
          </w:p>
        </w:tc>
        <w:tc>
          <w:tcPr>
            <w:tcW w:w="6949" w:type="dxa"/>
            <w:gridSpan w:val="2"/>
            <w:shd w:val="clear" w:color="auto" w:fill="auto"/>
          </w:tcPr>
          <w:p>
            <w:pPr>
              <w:widowControl/>
              <w:snapToGrid w:val="0"/>
              <w:spacing w:before="156" w:beforeLines="50" w:after="156" w:afterLines="50"/>
              <w:rPr>
                <w:rFonts w:ascii="Times New Roman" w:hAnsi="Times New Roman"/>
                <w:szCs w:val="21"/>
              </w:rPr>
            </w:pPr>
            <w:r>
              <w:rPr>
                <w:rFonts w:hint="eastAsia" w:ascii="Times New Roman" w:hAnsi="Times New Roman"/>
                <w:szCs w:val="21"/>
              </w:rPr>
              <w:t>天津港航工程有限公司与天津港电力有限公司等经营者收购天津远海金风智港新能源有限公司股权案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1809" w:type="dxa"/>
            <w:shd w:val="clear" w:color="auto" w:fill="D9D9D9"/>
            <w:vAlign w:val="center"/>
          </w:tcPr>
          <w:p>
            <w:pPr>
              <w:spacing w:after="156" w:afterLines="50"/>
              <w:jc w:val="both"/>
              <w:rPr>
                <w:rFonts w:ascii="Times New Roman" w:hAnsi="Times New Roman"/>
                <w:szCs w:val="21"/>
              </w:rPr>
            </w:pPr>
            <w:r>
              <w:rPr>
                <w:rFonts w:ascii="Times New Roman" w:hAnsi="Times New Roman"/>
                <w:szCs w:val="21"/>
              </w:rPr>
              <w:t>交易概况（限200字内）</w:t>
            </w:r>
          </w:p>
        </w:tc>
        <w:tc>
          <w:tcPr>
            <w:tcW w:w="6949" w:type="dxa"/>
            <w:gridSpan w:val="2"/>
            <w:shd w:val="clear" w:color="auto" w:fill="auto"/>
          </w:tcPr>
          <w:p>
            <w:pPr>
              <w:widowControl/>
              <w:snapToGrid w:val="0"/>
              <w:jc w:val="left"/>
              <w:rPr>
                <w:rFonts w:ascii="Times New Roman" w:hAnsi="Times New Roman"/>
              </w:rPr>
            </w:pPr>
            <w:r>
              <w:rPr>
                <w:rFonts w:hint="eastAsia" w:ascii="Times New Roman" w:hAnsi="Times New Roman"/>
                <w:szCs w:val="21"/>
              </w:rPr>
              <w:t>天津港航工程有限公司（“</w:t>
            </w:r>
            <w:r>
              <w:rPr>
                <w:rFonts w:hint="eastAsia" w:ascii="Times New Roman" w:hAnsi="Times New Roman"/>
                <w:b/>
                <w:bCs/>
              </w:rPr>
              <w:t>港航公司</w:t>
            </w:r>
            <w:r>
              <w:rPr>
                <w:rFonts w:hint="eastAsia" w:ascii="Times New Roman" w:hAnsi="Times New Roman"/>
              </w:rPr>
              <w:t>”）、</w:t>
            </w:r>
            <w:r>
              <w:rPr>
                <w:rFonts w:hint="eastAsia" w:ascii="Times New Roman" w:hAnsi="Times New Roman"/>
                <w:szCs w:val="21"/>
              </w:rPr>
              <w:t>天津港电力有限公司（“</w:t>
            </w:r>
            <w:r>
              <w:rPr>
                <w:rFonts w:hint="eastAsia" w:ascii="Times New Roman" w:hAnsi="Times New Roman"/>
                <w:b/>
                <w:bCs/>
              </w:rPr>
              <w:t>电力公司</w:t>
            </w:r>
            <w:r>
              <w:rPr>
                <w:rFonts w:hint="eastAsia" w:ascii="Times New Roman" w:hAnsi="Times New Roman"/>
              </w:rPr>
              <w:t>”）及国网（天津）综合能源服务有限公司（“</w:t>
            </w:r>
            <w:r>
              <w:rPr>
                <w:rFonts w:hint="eastAsia" w:ascii="Times New Roman" w:hAnsi="Times New Roman"/>
                <w:b/>
                <w:bCs/>
              </w:rPr>
              <w:t>国网综合</w:t>
            </w:r>
            <w:r>
              <w:rPr>
                <w:rFonts w:hint="eastAsia" w:ascii="Times New Roman" w:hAnsi="Times New Roman"/>
              </w:rPr>
              <w:t>”）拟以股权受让与增资的方式共同投资入股天津远海金风智港新能源有限公司（“</w:t>
            </w:r>
            <w:r>
              <w:rPr>
                <w:rFonts w:hint="eastAsia" w:ascii="Times New Roman" w:hAnsi="Times New Roman"/>
                <w:b/>
                <w:bCs/>
              </w:rPr>
              <w:t>智港新能源</w:t>
            </w:r>
            <w:r>
              <w:rPr>
                <w:rFonts w:hint="eastAsia" w:ascii="Times New Roman" w:hAnsi="Times New Roman"/>
              </w:rPr>
              <w:t>”），智港新能源拟从事位于天津滨海新区天津港北港欧亚国际集装箱码头北侧的陆上风力发电项目</w:t>
            </w:r>
            <w:r>
              <w:rPr>
                <w:rFonts w:hint="eastAsia" w:ascii="Times New Roman" w:hAnsi="Times New Roman" w:cs="Times New Roman"/>
              </w:rPr>
              <w:t>。交易前，</w:t>
            </w:r>
            <w:r>
              <w:rPr>
                <w:rFonts w:hint="eastAsia" w:ascii="Times New Roman" w:hAnsi="Times New Roman"/>
              </w:rPr>
              <w:t>天津中远海运金风新能源有限公司（“</w:t>
            </w:r>
            <w:r>
              <w:rPr>
                <w:rFonts w:hint="eastAsia" w:ascii="Times New Roman" w:hAnsi="Times New Roman"/>
                <w:b/>
                <w:bCs/>
              </w:rPr>
              <w:t>中远金风</w:t>
            </w:r>
            <w:r>
              <w:rPr>
                <w:rFonts w:hint="eastAsia" w:ascii="Times New Roman" w:hAnsi="Times New Roman"/>
              </w:rPr>
              <w:t>”）</w:t>
            </w:r>
            <w:r>
              <w:rPr>
                <w:rFonts w:hint="eastAsia" w:ascii="Times New Roman" w:hAnsi="Times New Roman" w:cs="Times New Roman"/>
              </w:rPr>
              <w:t>单独控制</w:t>
            </w:r>
            <w:r>
              <w:rPr>
                <w:rFonts w:hint="eastAsia" w:ascii="Times New Roman" w:hAnsi="Times New Roman"/>
              </w:rPr>
              <w:t>智港新能源</w:t>
            </w:r>
            <w:r>
              <w:rPr>
                <w:rFonts w:hint="eastAsia" w:ascii="Times New Roman" w:hAnsi="Times New Roman" w:cs="Times New Roman"/>
                <w:lang w:eastAsia="zh-CN"/>
              </w:rPr>
              <w:t>。</w:t>
            </w:r>
            <w:r>
              <w:rPr>
                <w:rFonts w:hint="eastAsia" w:ascii="Times New Roman" w:hAnsi="Times New Roman" w:cs="Times New Roman"/>
              </w:rPr>
              <w:t>交易后，中远金风</w:t>
            </w:r>
            <w:r>
              <w:rPr>
                <w:rFonts w:hint="eastAsia" w:ascii="Times New Roman" w:hAnsi="Times New Roman" w:cs="Times New Roman"/>
                <w:lang w:eastAsia="zh-CN"/>
              </w:rPr>
              <w:t>、</w:t>
            </w:r>
            <w:r>
              <w:rPr>
                <w:rFonts w:hint="eastAsia" w:ascii="Times New Roman" w:hAnsi="Times New Roman" w:cs="Times New Roman"/>
              </w:rPr>
              <w:t>港航公司、电力公司、国网综</w:t>
            </w:r>
            <w:r>
              <w:rPr>
                <w:rFonts w:hint="eastAsia" w:ascii="Times New Roman" w:hAnsi="Times New Roman"/>
              </w:rPr>
              <w:t>合四方共同控制智港新能源。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809" w:type="dxa"/>
            <w:vMerge w:val="restart"/>
            <w:shd w:val="clear" w:color="auto" w:fill="D9D9D9"/>
            <w:vAlign w:val="center"/>
          </w:tcPr>
          <w:p>
            <w:pPr>
              <w:spacing w:after="156" w:afterLines="50"/>
              <w:jc w:val="both"/>
              <w:rPr>
                <w:rFonts w:ascii="Times New Roman" w:hAnsi="Times New Roman"/>
                <w:szCs w:val="21"/>
              </w:rPr>
            </w:pPr>
            <w:r>
              <w:rPr>
                <w:rFonts w:ascii="Times New Roman" w:hAnsi="Times New Roman"/>
                <w:szCs w:val="21"/>
              </w:rPr>
              <w:t>参与集中的经营者简介</w:t>
            </w:r>
          </w:p>
        </w:tc>
        <w:tc>
          <w:tcPr>
            <w:tcW w:w="1796" w:type="dxa"/>
            <w:shd w:val="clear" w:color="auto" w:fill="auto"/>
            <w:vAlign w:val="center"/>
          </w:tcPr>
          <w:p>
            <w:pPr>
              <w:spacing w:after="156" w:afterLines="50"/>
              <w:jc w:val="left"/>
              <w:rPr>
                <w:rFonts w:ascii="Times New Roman" w:hAnsi="Times New Roman"/>
                <w:szCs w:val="21"/>
              </w:rPr>
            </w:pPr>
            <w:r>
              <w:rPr>
                <w:rFonts w:hint="eastAsia" w:ascii="Times New Roman" w:hAnsi="Times New Roman"/>
                <w:szCs w:val="21"/>
              </w:rPr>
              <w:t>1.港航公司</w:t>
            </w:r>
          </w:p>
        </w:tc>
        <w:tc>
          <w:tcPr>
            <w:tcW w:w="5153" w:type="dxa"/>
            <w:shd w:val="clear" w:color="auto" w:fill="auto"/>
          </w:tcPr>
          <w:p>
            <w:pPr>
              <w:widowControl/>
              <w:snapToGrid w:val="0"/>
              <w:spacing w:before="156" w:beforeLines="50" w:after="156" w:afterLines="50"/>
              <w:rPr>
                <w:rFonts w:ascii="Times New Roman" w:hAnsi="Times New Roman"/>
                <w:szCs w:val="21"/>
              </w:rPr>
            </w:pPr>
            <w:r>
              <w:rPr>
                <w:rFonts w:hint="eastAsia" w:ascii="Times New Roman" w:hAnsi="Times New Roman"/>
                <w:szCs w:val="21"/>
              </w:rPr>
              <w:t>公司是集港口与航道、市政、房建、水利水电、机电安装、环保、管桩制造、混凝土构件预制等工程业务于一体，拥有丰富施工经验和雄厚施工、投资、运营能力的综合型施工企业。公司拥有多种海上风电施工核心装备，是国内海上风电施工龙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809" w:type="dxa"/>
            <w:vMerge w:val="continue"/>
            <w:shd w:val="clear" w:color="auto" w:fill="D9D9D9"/>
            <w:vAlign w:val="center"/>
          </w:tcPr>
          <w:p>
            <w:pPr>
              <w:spacing w:after="156" w:afterLines="50"/>
              <w:jc w:val="both"/>
              <w:rPr>
                <w:rFonts w:ascii="Times New Roman" w:hAnsi="Times New Roman"/>
                <w:szCs w:val="21"/>
              </w:rPr>
            </w:pPr>
          </w:p>
        </w:tc>
        <w:tc>
          <w:tcPr>
            <w:tcW w:w="1796" w:type="dxa"/>
            <w:shd w:val="clear" w:color="auto" w:fill="auto"/>
            <w:vAlign w:val="center"/>
          </w:tcPr>
          <w:p>
            <w:pPr>
              <w:spacing w:after="156" w:afterLines="50"/>
              <w:jc w:val="left"/>
              <w:rPr>
                <w:rFonts w:ascii="Times New Roman" w:hAnsi="Times New Roman"/>
                <w:szCs w:val="21"/>
              </w:rPr>
            </w:pPr>
            <w:r>
              <w:rPr>
                <w:rFonts w:hint="eastAsia" w:ascii="Times New Roman" w:hAnsi="Times New Roman"/>
                <w:szCs w:val="21"/>
              </w:rPr>
              <w:t>2.电力公司</w:t>
            </w:r>
          </w:p>
        </w:tc>
        <w:tc>
          <w:tcPr>
            <w:tcW w:w="5153" w:type="dxa"/>
            <w:shd w:val="clear" w:color="auto" w:fill="auto"/>
          </w:tcPr>
          <w:p>
            <w:pPr>
              <w:widowControl/>
              <w:snapToGrid w:val="0"/>
              <w:spacing w:before="156" w:beforeLines="50" w:after="156" w:afterLines="50"/>
              <w:rPr>
                <w:rFonts w:ascii="Times New Roman" w:hAnsi="Times New Roman"/>
                <w:szCs w:val="21"/>
              </w:rPr>
            </w:pPr>
            <w:r>
              <w:rPr>
                <w:rFonts w:hint="eastAsia" w:ascii="Times New Roman" w:hAnsi="Times New Roman"/>
                <w:szCs w:val="21"/>
              </w:rPr>
              <w:t>公司负责天津港生产建设及经营管理供电系统运行及管理；电气设备及配件、材料的销售；送变电工程，照明工程的承揽；技术咨询服务；劳务服务；自有电气设备设施租赁；自有房屋租赁；场地租赁等。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809" w:type="dxa"/>
            <w:vMerge w:val="continue"/>
            <w:shd w:val="clear" w:color="auto" w:fill="D9D9D9"/>
            <w:vAlign w:val="center"/>
          </w:tcPr>
          <w:p>
            <w:pPr>
              <w:spacing w:after="156" w:afterLines="50"/>
              <w:jc w:val="both"/>
              <w:rPr>
                <w:rFonts w:ascii="Times New Roman" w:hAnsi="Times New Roman"/>
                <w:szCs w:val="21"/>
              </w:rPr>
            </w:pPr>
          </w:p>
        </w:tc>
        <w:tc>
          <w:tcPr>
            <w:tcW w:w="1796" w:type="dxa"/>
            <w:shd w:val="clear" w:color="auto" w:fill="auto"/>
            <w:vAlign w:val="center"/>
          </w:tcPr>
          <w:p>
            <w:pPr>
              <w:spacing w:after="156" w:afterLines="50"/>
              <w:jc w:val="left"/>
              <w:rPr>
                <w:rFonts w:ascii="Times New Roman" w:hAnsi="Times New Roman"/>
                <w:szCs w:val="21"/>
              </w:rPr>
            </w:pPr>
            <w:r>
              <w:rPr>
                <w:rFonts w:hint="eastAsia" w:ascii="Times New Roman" w:hAnsi="Times New Roman"/>
                <w:szCs w:val="21"/>
              </w:rPr>
              <w:t>3</w:t>
            </w:r>
            <w:r>
              <w:rPr>
                <w:rFonts w:ascii="Times New Roman" w:hAnsi="Times New Roman"/>
                <w:szCs w:val="21"/>
              </w:rPr>
              <w:t>.</w:t>
            </w:r>
            <w:r>
              <w:rPr>
                <w:rFonts w:hint="eastAsia" w:ascii="Times New Roman" w:hAnsi="Times New Roman"/>
                <w:szCs w:val="21"/>
              </w:rPr>
              <w:t>国网综合</w:t>
            </w:r>
          </w:p>
        </w:tc>
        <w:tc>
          <w:tcPr>
            <w:tcW w:w="5153" w:type="dxa"/>
            <w:shd w:val="clear" w:color="auto" w:fill="auto"/>
          </w:tcPr>
          <w:p>
            <w:pPr>
              <w:widowControl/>
              <w:snapToGrid w:val="0"/>
              <w:spacing w:before="156" w:beforeLines="50" w:after="156" w:afterLines="50"/>
              <w:rPr>
                <w:rFonts w:ascii="Times New Roman" w:hAnsi="Times New Roman"/>
                <w:szCs w:val="21"/>
              </w:rPr>
            </w:pPr>
            <w:r>
              <w:rPr>
                <w:rFonts w:hint="eastAsia" w:ascii="Times New Roman" w:hAnsi="Times New Roman"/>
                <w:szCs w:val="21"/>
              </w:rPr>
              <w:t>公司主营综合能源服务，多能供应服务，清洁能源服务，新型用能服务，智慧用能服务，能源交易服务等，具有雄厚的投资经验、技术实力和客户资源，掌握着电力上网的关键环节和核心资源。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809" w:type="dxa"/>
            <w:vMerge w:val="continue"/>
            <w:shd w:val="clear" w:color="auto" w:fill="D9D9D9"/>
            <w:vAlign w:val="center"/>
          </w:tcPr>
          <w:p>
            <w:pPr>
              <w:spacing w:after="156" w:afterLines="50"/>
              <w:jc w:val="both"/>
              <w:rPr>
                <w:rFonts w:ascii="Times New Roman" w:hAnsi="Times New Roman"/>
                <w:szCs w:val="21"/>
              </w:rPr>
            </w:pPr>
          </w:p>
        </w:tc>
        <w:tc>
          <w:tcPr>
            <w:tcW w:w="1796" w:type="dxa"/>
            <w:shd w:val="clear" w:color="auto" w:fill="auto"/>
            <w:vAlign w:val="center"/>
          </w:tcPr>
          <w:p>
            <w:pPr>
              <w:spacing w:after="156" w:afterLines="50"/>
              <w:jc w:val="left"/>
              <w:rPr>
                <w:rFonts w:ascii="Times New Roman" w:hAnsi="Times New Roman"/>
                <w:szCs w:val="21"/>
              </w:rPr>
            </w:pPr>
            <w:r>
              <w:rPr>
                <w:rFonts w:hint="eastAsia" w:ascii="Times New Roman" w:hAnsi="Times New Roman"/>
                <w:szCs w:val="21"/>
              </w:rPr>
              <w:t>4</w:t>
            </w:r>
            <w:r>
              <w:rPr>
                <w:rFonts w:ascii="Times New Roman" w:hAnsi="Times New Roman"/>
                <w:szCs w:val="21"/>
              </w:rPr>
              <w:t>.</w:t>
            </w:r>
            <w:r>
              <w:rPr>
                <w:rFonts w:hint="eastAsia" w:ascii="Times New Roman" w:hAnsi="Times New Roman"/>
                <w:szCs w:val="21"/>
              </w:rPr>
              <w:t>中远金风</w:t>
            </w:r>
          </w:p>
        </w:tc>
        <w:tc>
          <w:tcPr>
            <w:tcW w:w="5153" w:type="dxa"/>
            <w:shd w:val="clear" w:color="auto" w:fill="auto"/>
          </w:tcPr>
          <w:p>
            <w:pPr>
              <w:widowControl/>
              <w:snapToGrid w:val="0"/>
              <w:spacing w:before="156" w:beforeLines="50" w:after="156" w:afterLines="50"/>
              <w:rPr>
                <w:rFonts w:ascii="Times New Roman" w:hAnsi="Times New Roman"/>
                <w:szCs w:val="21"/>
              </w:rPr>
            </w:pPr>
            <w:r>
              <w:rPr>
                <w:rFonts w:hint="eastAsia" w:ascii="Times New Roman" w:hAnsi="Times New Roman"/>
                <w:szCs w:val="21"/>
              </w:rPr>
              <w:t>公司聚焦分布式新能源开发运营、港航综合智慧节能服务、电动车船产品以及电力交易与灵活调度四大核心业务，公司在新能源项目前期报批和申请流程以及项目后期运营等方面具有非常丰富的经验和广泛的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after="156" w:afterLines="50"/>
              <w:jc w:val="both"/>
              <w:rPr>
                <w:rFonts w:ascii="Times New Roman" w:hAnsi="Times New Roman"/>
                <w:szCs w:val="21"/>
              </w:rPr>
            </w:pPr>
            <w:r>
              <w:rPr>
                <w:rFonts w:ascii="Times New Roman" w:hAnsi="Times New Roman"/>
                <w:szCs w:val="21"/>
              </w:rPr>
              <w:t>简易案件理由（可以单选，也可以多选）</w:t>
            </w:r>
          </w:p>
        </w:tc>
        <w:tc>
          <w:tcPr>
            <w:tcW w:w="6949" w:type="dxa"/>
            <w:gridSpan w:val="2"/>
            <w:shd w:val="clear" w:color="auto" w:fill="auto"/>
          </w:tcPr>
          <w:p>
            <w:pPr>
              <w:spacing w:after="156" w:afterLines="50"/>
              <w:rPr>
                <w:rFonts w:ascii="Times New Roman" w:hAnsi="Times New Roman"/>
                <w:szCs w:val="21"/>
              </w:rPr>
            </w:pPr>
            <w:r>
              <w:rPr>
                <w:rFonts w:ascii="Times New Roman" w:hAnsi="Times New Roman"/>
                <w:szCs w:val="21"/>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after="156" w:afterLines="50"/>
              <w:jc w:val="both"/>
              <w:rPr>
                <w:rFonts w:ascii="Times New Roman" w:hAnsi="Times New Roman"/>
                <w:szCs w:val="21"/>
              </w:rPr>
            </w:pPr>
          </w:p>
        </w:tc>
        <w:tc>
          <w:tcPr>
            <w:tcW w:w="6949" w:type="dxa"/>
            <w:gridSpan w:val="2"/>
            <w:shd w:val="clear" w:color="auto" w:fill="auto"/>
          </w:tcPr>
          <w:p>
            <w:pPr>
              <w:spacing w:after="156" w:afterLines="50"/>
              <w:rPr>
                <w:rFonts w:ascii="Times New Roman" w:hAnsi="Times New Roman"/>
                <w:szCs w:val="21"/>
              </w:rPr>
            </w:pPr>
            <w:r>
              <w:rPr>
                <w:rFonts w:ascii="Times New Roman" w:hAnsi="Times New Roman"/>
                <w:szCs w:val="21"/>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after="156" w:afterLines="50"/>
              <w:jc w:val="both"/>
              <w:rPr>
                <w:rFonts w:ascii="Times New Roman" w:hAnsi="Times New Roman"/>
                <w:szCs w:val="21"/>
              </w:rPr>
            </w:pPr>
          </w:p>
        </w:tc>
        <w:tc>
          <w:tcPr>
            <w:tcW w:w="6949" w:type="dxa"/>
            <w:gridSpan w:val="2"/>
            <w:shd w:val="clear" w:color="auto" w:fill="auto"/>
          </w:tcPr>
          <w:p>
            <w:pPr>
              <w:spacing w:after="156" w:afterLines="50"/>
              <w:rPr>
                <w:rFonts w:ascii="Times New Roman" w:hAnsi="Times New Roman"/>
                <w:szCs w:val="21"/>
              </w:rPr>
            </w:pPr>
            <w:r>
              <w:rPr>
                <w:rFonts w:ascii="Wingdings" w:hAnsi="Wingdings"/>
                <w:szCs w:val="21"/>
              </w:rPr>
              <w:sym w:font="Wingdings" w:char="F0FE"/>
            </w:r>
            <w:r>
              <w:rPr>
                <w:rFonts w:ascii="Times New Roman" w:hAnsi="Times New Roman"/>
                <w:szCs w:val="21"/>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after="156" w:afterLines="50"/>
              <w:jc w:val="both"/>
              <w:rPr>
                <w:rFonts w:ascii="Times New Roman" w:hAnsi="Times New Roman"/>
                <w:szCs w:val="21"/>
              </w:rPr>
            </w:pPr>
          </w:p>
        </w:tc>
        <w:tc>
          <w:tcPr>
            <w:tcW w:w="6949" w:type="dxa"/>
            <w:gridSpan w:val="2"/>
            <w:shd w:val="clear" w:color="auto" w:fill="auto"/>
          </w:tcPr>
          <w:p>
            <w:pPr>
              <w:spacing w:after="156" w:afterLines="50"/>
              <w:rPr>
                <w:rFonts w:ascii="Times New Roman" w:hAnsi="Times New Roman"/>
                <w:szCs w:val="21"/>
              </w:rPr>
            </w:pPr>
            <w:r>
              <w:rPr>
                <w:rFonts w:ascii="Times New Roman" w:hAnsi="Times New Roman"/>
                <w:szCs w:val="21"/>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after="156" w:afterLines="50"/>
              <w:jc w:val="both"/>
              <w:rPr>
                <w:rFonts w:ascii="Times New Roman" w:hAnsi="Times New Roman"/>
                <w:szCs w:val="21"/>
              </w:rPr>
            </w:pPr>
          </w:p>
        </w:tc>
        <w:tc>
          <w:tcPr>
            <w:tcW w:w="6949" w:type="dxa"/>
            <w:gridSpan w:val="2"/>
            <w:shd w:val="clear" w:color="auto" w:fill="auto"/>
          </w:tcPr>
          <w:p>
            <w:pPr>
              <w:spacing w:after="156" w:afterLines="50"/>
              <w:rPr>
                <w:rFonts w:ascii="Times New Roman" w:hAnsi="Times New Roman"/>
                <w:szCs w:val="21"/>
              </w:rPr>
            </w:pPr>
            <w:r>
              <w:rPr>
                <w:rFonts w:ascii="Times New Roman" w:hAnsi="Times New Roman"/>
                <w:szCs w:val="21"/>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after="156" w:afterLines="50"/>
              <w:jc w:val="both"/>
              <w:rPr>
                <w:rFonts w:ascii="Times New Roman" w:hAnsi="Times New Roman"/>
                <w:szCs w:val="21"/>
              </w:rPr>
            </w:pPr>
          </w:p>
        </w:tc>
        <w:tc>
          <w:tcPr>
            <w:tcW w:w="6949" w:type="dxa"/>
            <w:gridSpan w:val="2"/>
            <w:shd w:val="clear" w:color="auto" w:fill="auto"/>
          </w:tcPr>
          <w:p>
            <w:pPr>
              <w:spacing w:after="156" w:afterLines="50"/>
              <w:rPr>
                <w:rFonts w:ascii="Times New Roman" w:hAnsi="Times New Roman"/>
                <w:szCs w:val="21"/>
              </w:rPr>
            </w:pPr>
            <w:r>
              <w:rPr>
                <w:rFonts w:ascii="Times New Roman" w:hAnsi="Times New Roman"/>
                <w:szCs w:val="21"/>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809" w:type="dxa"/>
            <w:shd w:val="clear" w:color="auto" w:fill="D9D9D9"/>
            <w:vAlign w:val="center"/>
          </w:tcPr>
          <w:p>
            <w:pPr>
              <w:spacing w:after="156" w:afterLines="50"/>
              <w:jc w:val="both"/>
              <w:rPr>
                <w:rFonts w:ascii="Times New Roman" w:hAnsi="Times New Roman"/>
                <w:szCs w:val="21"/>
              </w:rPr>
            </w:pPr>
            <w:r>
              <w:rPr>
                <w:rFonts w:ascii="Times New Roman" w:hAnsi="Times New Roman"/>
                <w:szCs w:val="21"/>
              </w:rPr>
              <w:t>备注</w:t>
            </w:r>
          </w:p>
        </w:tc>
        <w:tc>
          <w:tcPr>
            <w:tcW w:w="6949" w:type="dxa"/>
            <w:gridSpan w:val="2"/>
            <w:shd w:val="clear" w:color="auto" w:fill="auto"/>
          </w:tcPr>
          <w:p>
            <w:pPr>
              <w:spacing w:after="156" w:afterLines="50"/>
              <w:ind w:left="360"/>
              <w:rPr>
                <w:rFonts w:ascii="Times New Roman" w:hAnsi="Times New Roman"/>
                <w:szCs w:val="21"/>
              </w:rPr>
            </w:pPr>
            <w:r>
              <w:rPr>
                <w:rFonts w:hint="eastAsia" w:ascii="Times New Roman" w:hAnsi="Times New Roman"/>
                <w:szCs w:val="21"/>
              </w:rPr>
              <w:t>1</w:t>
            </w:r>
            <w:r>
              <w:rPr>
                <w:rFonts w:ascii="Times New Roman" w:hAnsi="Times New Roman"/>
                <w:szCs w:val="21"/>
              </w:rPr>
              <w:t xml:space="preserve">. </w:t>
            </w:r>
            <w:r>
              <w:rPr>
                <w:rFonts w:hint="eastAsia" w:ascii="Times New Roman" w:hAnsi="Times New Roman"/>
                <w:szCs w:val="21"/>
              </w:rPr>
              <w:t>中国陆上风力发电市场</w:t>
            </w:r>
          </w:p>
          <w:p>
            <w:pPr>
              <w:spacing w:after="156" w:afterLines="50"/>
              <w:ind w:left="360" w:firstLine="210" w:firstLineChars="100"/>
              <w:rPr>
                <w:rFonts w:ascii="Times New Roman" w:hAnsi="Times New Roman"/>
                <w:szCs w:val="21"/>
              </w:rPr>
            </w:pPr>
            <w:r>
              <w:rPr>
                <w:rFonts w:hint="eastAsia" w:ascii="Times New Roman" w:hAnsi="Times New Roman"/>
                <w:szCs w:val="21"/>
              </w:rPr>
              <w:t>2</w:t>
            </w:r>
            <w:r>
              <w:rPr>
                <w:rFonts w:ascii="Times New Roman" w:hAnsi="Times New Roman"/>
                <w:szCs w:val="21"/>
              </w:rPr>
              <w:t>020</w:t>
            </w:r>
            <w:r>
              <w:rPr>
                <w:rFonts w:hint="eastAsia" w:ascii="Times New Roman" w:hAnsi="Times New Roman"/>
                <w:szCs w:val="21"/>
              </w:rPr>
              <w:t>年中远金风市场份额为【0</w:t>
            </w:r>
            <w:r>
              <w:rPr>
                <w:rFonts w:ascii="Times New Roman" w:hAnsi="Times New Roman"/>
                <w:szCs w:val="21"/>
              </w:rPr>
              <w:t>-5%</w:t>
            </w:r>
            <w:r>
              <w:rPr>
                <w:rFonts w:hint="eastAsia" w:ascii="Times New Roman" w:hAnsi="Times New Roman"/>
                <w:szCs w:val="21"/>
              </w:rPr>
              <w:t>】</w:t>
            </w:r>
          </w:p>
          <w:p>
            <w:pPr>
              <w:spacing w:after="156" w:afterLines="50"/>
              <w:ind w:left="360" w:firstLine="210" w:firstLineChars="100"/>
              <w:rPr>
                <w:rFonts w:ascii="Times New Roman" w:hAnsi="Times New Roman"/>
                <w:szCs w:val="21"/>
              </w:rPr>
            </w:pPr>
          </w:p>
        </w:tc>
      </w:tr>
    </w:tbl>
    <w:p>
      <w:pPr>
        <w:rPr>
          <w:rFonts w:ascii="楷体_GB2312" w:hAnsi="Times New Roman" w:eastAsia="楷体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1750B"/>
    <w:rsid w:val="000216E6"/>
    <w:rsid w:val="00027835"/>
    <w:rsid w:val="00037588"/>
    <w:rsid w:val="000551BC"/>
    <w:rsid w:val="0005594E"/>
    <w:rsid w:val="00067565"/>
    <w:rsid w:val="0007152A"/>
    <w:rsid w:val="00082C02"/>
    <w:rsid w:val="00094095"/>
    <w:rsid w:val="000A3CA7"/>
    <w:rsid w:val="000A77A5"/>
    <w:rsid w:val="000B6A96"/>
    <w:rsid w:val="000D6356"/>
    <w:rsid w:val="000E7FC9"/>
    <w:rsid w:val="000F306A"/>
    <w:rsid w:val="000F3F86"/>
    <w:rsid w:val="000F6544"/>
    <w:rsid w:val="00100B60"/>
    <w:rsid w:val="00101176"/>
    <w:rsid w:val="00113543"/>
    <w:rsid w:val="00117B9E"/>
    <w:rsid w:val="00124597"/>
    <w:rsid w:val="0019247E"/>
    <w:rsid w:val="001A0880"/>
    <w:rsid w:val="001A37FC"/>
    <w:rsid w:val="001A6258"/>
    <w:rsid w:val="001B5F65"/>
    <w:rsid w:val="001C1B23"/>
    <w:rsid w:val="001C3AD5"/>
    <w:rsid w:val="0020313A"/>
    <w:rsid w:val="00210BC9"/>
    <w:rsid w:val="002128F6"/>
    <w:rsid w:val="002158DC"/>
    <w:rsid w:val="002213B3"/>
    <w:rsid w:val="002269DB"/>
    <w:rsid w:val="0024218A"/>
    <w:rsid w:val="00245776"/>
    <w:rsid w:val="0025240B"/>
    <w:rsid w:val="002608F8"/>
    <w:rsid w:val="00262658"/>
    <w:rsid w:val="0027100D"/>
    <w:rsid w:val="00297506"/>
    <w:rsid w:val="002C338F"/>
    <w:rsid w:val="002D54A4"/>
    <w:rsid w:val="002E0740"/>
    <w:rsid w:val="002E1C1C"/>
    <w:rsid w:val="002E259C"/>
    <w:rsid w:val="002E2C9F"/>
    <w:rsid w:val="002E720A"/>
    <w:rsid w:val="002F2D60"/>
    <w:rsid w:val="002F3A72"/>
    <w:rsid w:val="002F724B"/>
    <w:rsid w:val="00305305"/>
    <w:rsid w:val="00306FB0"/>
    <w:rsid w:val="00307976"/>
    <w:rsid w:val="0031093F"/>
    <w:rsid w:val="00311210"/>
    <w:rsid w:val="003145BC"/>
    <w:rsid w:val="003170BD"/>
    <w:rsid w:val="00320D56"/>
    <w:rsid w:val="00324AD4"/>
    <w:rsid w:val="003340EB"/>
    <w:rsid w:val="00340ACD"/>
    <w:rsid w:val="00350D45"/>
    <w:rsid w:val="00355D31"/>
    <w:rsid w:val="0037036A"/>
    <w:rsid w:val="00371BC9"/>
    <w:rsid w:val="00384238"/>
    <w:rsid w:val="003A16B4"/>
    <w:rsid w:val="003B6581"/>
    <w:rsid w:val="003B78F4"/>
    <w:rsid w:val="003C0156"/>
    <w:rsid w:val="003F170C"/>
    <w:rsid w:val="004030E1"/>
    <w:rsid w:val="0040319E"/>
    <w:rsid w:val="00420292"/>
    <w:rsid w:val="004261DB"/>
    <w:rsid w:val="004316EF"/>
    <w:rsid w:val="00436AF4"/>
    <w:rsid w:val="0044015B"/>
    <w:rsid w:val="00443A41"/>
    <w:rsid w:val="00445F6B"/>
    <w:rsid w:val="00452418"/>
    <w:rsid w:val="00453F8E"/>
    <w:rsid w:val="00462174"/>
    <w:rsid w:val="00477DDE"/>
    <w:rsid w:val="004A0F0A"/>
    <w:rsid w:val="004B7BC9"/>
    <w:rsid w:val="004E1994"/>
    <w:rsid w:val="004E27C5"/>
    <w:rsid w:val="004E39F4"/>
    <w:rsid w:val="004E5BA2"/>
    <w:rsid w:val="004F53A7"/>
    <w:rsid w:val="00515347"/>
    <w:rsid w:val="00522274"/>
    <w:rsid w:val="005440BF"/>
    <w:rsid w:val="00557FA3"/>
    <w:rsid w:val="00566CC7"/>
    <w:rsid w:val="005674E8"/>
    <w:rsid w:val="00585F58"/>
    <w:rsid w:val="005B44EF"/>
    <w:rsid w:val="005B533D"/>
    <w:rsid w:val="005B5DB2"/>
    <w:rsid w:val="005C0FBD"/>
    <w:rsid w:val="005C3D32"/>
    <w:rsid w:val="005D1B7F"/>
    <w:rsid w:val="005F167B"/>
    <w:rsid w:val="00625638"/>
    <w:rsid w:val="006300C0"/>
    <w:rsid w:val="0063752E"/>
    <w:rsid w:val="00647DC7"/>
    <w:rsid w:val="0065427D"/>
    <w:rsid w:val="00661E31"/>
    <w:rsid w:val="00667420"/>
    <w:rsid w:val="00675286"/>
    <w:rsid w:val="00683FCD"/>
    <w:rsid w:val="00687CD7"/>
    <w:rsid w:val="00692DA5"/>
    <w:rsid w:val="006A4F76"/>
    <w:rsid w:val="006A5728"/>
    <w:rsid w:val="006A67CA"/>
    <w:rsid w:val="006B49BF"/>
    <w:rsid w:val="006C4B90"/>
    <w:rsid w:val="006D2FC3"/>
    <w:rsid w:val="006D5A0F"/>
    <w:rsid w:val="006F55A3"/>
    <w:rsid w:val="006F6272"/>
    <w:rsid w:val="006F6383"/>
    <w:rsid w:val="00720227"/>
    <w:rsid w:val="00736746"/>
    <w:rsid w:val="007403B4"/>
    <w:rsid w:val="007411D0"/>
    <w:rsid w:val="00745DBE"/>
    <w:rsid w:val="0074694B"/>
    <w:rsid w:val="00751D95"/>
    <w:rsid w:val="00775B85"/>
    <w:rsid w:val="00787DD4"/>
    <w:rsid w:val="007A19CD"/>
    <w:rsid w:val="007C000E"/>
    <w:rsid w:val="007C654E"/>
    <w:rsid w:val="007C7803"/>
    <w:rsid w:val="007E1B1F"/>
    <w:rsid w:val="007F0687"/>
    <w:rsid w:val="007F5F08"/>
    <w:rsid w:val="008010AD"/>
    <w:rsid w:val="0080354C"/>
    <w:rsid w:val="0080386C"/>
    <w:rsid w:val="0080558F"/>
    <w:rsid w:val="00817EF1"/>
    <w:rsid w:val="00822970"/>
    <w:rsid w:val="00824915"/>
    <w:rsid w:val="0084303C"/>
    <w:rsid w:val="0085010B"/>
    <w:rsid w:val="00860BF2"/>
    <w:rsid w:val="008672BB"/>
    <w:rsid w:val="0088126D"/>
    <w:rsid w:val="00885D99"/>
    <w:rsid w:val="008926BD"/>
    <w:rsid w:val="0089745C"/>
    <w:rsid w:val="008A7ED7"/>
    <w:rsid w:val="008B22FB"/>
    <w:rsid w:val="008C5BF0"/>
    <w:rsid w:val="008C7D59"/>
    <w:rsid w:val="008D267B"/>
    <w:rsid w:val="008F299A"/>
    <w:rsid w:val="008F634B"/>
    <w:rsid w:val="0093097F"/>
    <w:rsid w:val="00932119"/>
    <w:rsid w:val="00952499"/>
    <w:rsid w:val="0095347A"/>
    <w:rsid w:val="009540AF"/>
    <w:rsid w:val="009733B4"/>
    <w:rsid w:val="00974D61"/>
    <w:rsid w:val="009948B0"/>
    <w:rsid w:val="009A7BF2"/>
    <w:rsid w:val="009B45A7"/>
    <w:rsid w:val="009B576E"/>
    <w:rsid w:val="009B6392"/>
    <w:rsid w:val="009C42BB"/>
    <w:rsid w:val="009C5ACB"/>
    <w:rsid w:val="009D6005"/>
    <w:rsid w:val="009E5752"/>
    <w:rsid w:val="009F1338"/>
    <w:rsid w:val="009F5448"/>
    <w:rsid w:val="009F7262"/>
    <w:rsid w:val="009F7FE9"/>
    <w:rsid w:val="00A2370A"/>
    <w:rsid w:val="00A40598"/>
    <w:rsid w:val="00A43A3E"/>
    <w:rsid w:val="00A62F9C"/>
    <w:rsid w:val="00A67610"/>
    <w:rsid w:val="00A76E06"/>
    <w:rsid w:val="00A77BD3"/>
    <w:rsid w:val="00A8032F"/>
    <w:rsid w:val="00AB40CB"/>
    <w:rsid w:val="00AD21B5"/>
    <w:rsid w:val="00AE4C10"/>
    <w:rsid w:val="00AE7A3B"/>
    <w:rsid w:val="00AF6AE1"/>
    <w:rsid w:val="00B01090"/>
    <w:rsid w:val="00B050A9"/>
    <w:rsid w:val="00B10A5E"/>
    <w:rsid w:val="00B12A4B"/>
    <w:rsid w:val="00B13FF6"/>
    <w:rsid w:val="00B16151"/>
    <w:rsid w:val="00B329DD"/>
    <w:rsid w:val="00B357DC"/>
    <w:rsid w:val="00B37A1D"/>
    <w:rsid w:val="00B40E62"/>
    <w:rsid w:val="00B41B52"/>
    <w:rsid w:val="00B54C38"/>
    <w:rsid w:val="00B64678"/>
    <w:rsid w:val="00B7032D"/>
    <w:rsid w:val="00B708EC"/>
    <w:rsid w:val="00B87F0D"/>
    <w:rsid w:val="00B93094"/>
    <w:rsid w:val="00B97BB6"/>
    <w:rsid w:val="00BA0750"/>
    <w:rsid w:val="00BA7437"/>
    <w:rsid w:val="00BB2377"/>
    <w:rsid w:val="00BB3798"/>
    <w:rsid w:val="00BD20A5"/>
    <w:rsid w:val="00BD2F28"/>
    <w:rsid w:val="00BD3D34"/>
    <w:rsid w:val="00BD6EBE"/>
    <w:rsid w:val="00BE11DE"/>
    <w:rsid w:val="00BF0D84"/>
    <w:rsid w:val="00C06047"/>
    <w:rsid w:val="00C20F36"/>
    <w:rsid w:val="00C23832"/>
    <w:rsid w:val="00C318CE"/>
    <w:rsid w:val="00C32475"/>
    <w:rsid w:val="00C35929"/>
    <w:rsid w:val="00C52346"/>
    <w:rsid w:val="00C62172"/>
    <w:rsid w:val="00C716B2"/>
    <w:rsid w:val="00C76979"/>
    <w:rsid w:val="00C8184D"/>
    <w:rsid w:val="00C9068E"/>
    <w:rsid w:val="00C94351"/>
    <w:rsid w:val="00CB754F"/>
    <w:rsid w:val="00CD4254"/>
    <w:rsid w:val="00CE2A82"/>
    <w:rsid w:val="00CE4D36"/>
    <w:rsid w:val="00CF5443"/>
    <w:rsid w:val="00CF6946"/>
    <w:rsid w:val="00D001A9"/>
    <w:rsid w:val="00D15F88"/>
    <w:rsid w:val="00D21777"/>
    <w:rsid w:val="00D25335"/>
    <w:rsid w:val="00D34121"/>
    <w:rsid w:val="00D451A4"/>
    <w:rsid w:val="00D45C93"/>
    <w:rsid w:val="00D515E7"/>
    <w:rsid w:val="00D658E4"/>
    <w:rsid w:val="00D86949"/>
    <w:rsid w:val="00DA2017"/>
    <w:rsid w:val="00DA2830"/>
    <w:rsid w:val="00DB0BDD"/>
    <w:rsid w:val="00DB6E88"/>
    <w:rsid w:val="00DC70AB"/>
    <w:rsid w:val="00DD4C6E"/>
    <w:rsid w:val="00DE453F"/>
    <w:rsid w:val="00DF4BCE"/>
    <w:rsid w:val="00DF76C1"/>
    <w:rsid w:val="00DF78D8"/>
    <w:rsid w:val="00E11C0D"/>
    <w:rsid w:val="00E32A0C"/>
    <w:rsid w:val="00E7230B"/>
    <w:rsid w:val="00E912C3"/>
    <w:rsid w:val="00EA629A"/>
    <w:rsid w:val="00EA6C92"/>
    <w:rsid w:val="00EA738D"/>
    <w:rsid w:val="00EB0EE6"/>
    <w:rsid w:val="00ED21B1"/>
    <w:rsid w:val="00ED3AED"/>
    <w:rsid w:val="00ED5D85"/>
    <w:rsid w:val="00ED6617"/>
    <w:rsid w:val="00EE2784"/>
    <w:rsid w:val="00EE4AF0"/>
    <w:rsid w:val="00EE5DF0"/>
    <w:rsid w:val="00EF2222"/>
    <w:rsid w:val="00F14C9D"/>
    <w:rsid w:val="00F16269"/>
    <w:rsid w:val="00F42BAC"/>
    <w:rsid w:val="00F5086B"/>
    <w:rsid w:val="00F57936"/>
    <w:rsid w:val="00F87C1F"/>
    <w:rsid w:val="00F917BF"/>
    <w:rsid w:val="00FB05C5"/>
    <w:rsid w:val="00FD69F4"/>
    <w:rsid w:val="00FE0884"/>
    <w:rsid w:val="00FE1D22"/>
    <w:rsid w:val="00FE3C66"/>
    <w:rsid w:val="00FE4CAC"/>
    <w:rsid w:val="00FF2D6D"/>
    <w:rsid w:val="00FF5EDC"/>
    <w:rsid w:val="20E34015"/>
    <w:rsid w:val="3EAE5DB3"/>
    <w:rsid w:val="4E3C27B6"/>
    <w:rsid w:val="6D28061E"/>
    <w:rsid w:val="75212CF4"/>
    <w:rsid w:val="7FF2CB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99"/>
    <w:pPr>
      <w:jc w:val="left"/>
    </w:pPr>
  </w:style>
  <w:style w:type="paragraph" w:styleId="3">
    <w:name w:val="endnote text"/>
    <w:basedOn w:val="1"/>
    <w:link w:val="15"/>
    <w:semiHidden/>
    <w:unhideWhenUsed/>
    <w:qFormat/>
    <w:uiPriority w:val="99"/>
    <w:pPr>
      <w:snapToGrid w:val="0"/>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1"/>
    <w:semiHidden/>
    <w:qFormat/>
    <w:uiPriority w:val="99"/>
    <w:pPr>
      <w:snapToGrid w:val="0"/>
      <w:jc w:val="left"/>
    </w:pPr>
    <w:rPr>
      <w:rFonts w:ascii="Times New Roman" w:hAnsi="Times New Roman" w:eastAsia="PMingLiU"/>
      <w:sz w:val="20"/>
      <w:szCs w:val="20"/>
      <w:lang w:eastAsia="zh-TW"/>
    </w:rPr>
  </w:style>
  <w:style w:type="paragraph" w:styleId="8">
    <w:name w:val="annotation subject"/>
    <w:basedOn w:val="2"/>
    <w:next w:val="2"/>
    <w:link w:val="23"/>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ndnote reference"/>
    <w:semiHidden/>
    <w:unhideWhenUsed/>
    <w:qFormat/>
    <w:uiPriority w:val="99"/>
    <w:rPr>
      <w:vertAlign w:val="superscript"/>
    </w:rPr>
  </w:style>
  <w:style w:type="character" w:styleId="13">
    <w:name w:val="annotation reference"/>
    <w:basedOn w:val="11"/>
    <w:semiHidden/>
    <w:unhideWhenUsed/>
    <w:qFormat/>
    <w:uiPriority w:val="99"/>
    <w:rPr>
      <w:sz w:val="21"/>
      <w:szCs w:val="21"/>
    </w:rPr>
  </w:style>
  <w:style w:type="character" w:styleId="14">
    <w:name w:val="footnote reference"/>
    <w:semiHidden/>
    <w:unhideWhenUsed/>
    <w:qFormat/>
    <w:uiPriority w:val="99"/>
    <w:rPr>
      <w:vertAlign w:val="superscript"/>
    </w:rPr>
  </w:style>
  <w:style w:type="character" w:customStyle="1" w:styleId="15">
    <w:name w:val="尾注文本 字符"/>
    <w:basedOn w:val="11"/>
    <w:link w:val="3"/>
    <w:semiHidden/>
    <w:qFormat/>
    <w:uiPriority w:val="99"/>
  </w:style>
  <w:style w:type="character" w:customStyle="1" w:styleId="16">
    <w:name w:val="页眉 字符"/>
    <w:link w:val="6"/>
    <w:qFormat/>
    <w:uiPriority w:val="99"/>
    <w:rPr>
      <w:sz w:val="18"/>
      <w:szCs w:val="18"/>
    </w:rPr>
  </w:style>
  <w:style w:type="character" w:customStyle="1" w:styleId="17">
    <w:name w:val="页脚 字符"/>
    <w:link w:val="5"/>
    <w:qFormat/>
    <w:uiPriority w:val="99"/>
    <w:rPr>
      <w:sz w:val="18"/>
      <w:szCs w:val="18"/>
    </w:rPr>
  </w:style>
  <w:style w:type="character" w:customStyle="1" w:styleId="18">
    <w:name w:val="批注框文本 字符"/>
    <w:link w:val="4"/>
    <w:semiHidden/>
    <w:qFormat/>
    <w:uiPriority w:val="99"/>
    <w:rPr>
      <w:kern w:val="2"/>
      <w:sz w:val="18"/>
      <w:szCs w:val="18"/>
    </w:rPr>
  </w:style>
  <w:style w:type="paragraph" w:customStyle="1" w:styleId="19">
    <w:name w:val="列出段落1"/>
    <w:basedOn w:val="1"/>
    <w:qFormat/>
    <w:uiPriority w:val="34"/>
    <w:pPr>
      <w:ind w:firstLine="420" w:firstLineChars="200"/>
    </w:pPr>
  </w:style>
  <w:style w:type="paragraph" w:styleId="20">
    <w:name w:val="List Paragraph"/>
    <w:basedOn w:val="1"/>
    <w:qFormat/>
    <w:uiPriority w:val="34"/>
    <w:pPr>
      <w:ind w:firstLine="420" w:firstLineChars="200"/>
    </w:pPr>
  </w:style>
  <w:style w:type="character" w:customStyle="1" w:styleId="21">
    <w:name w:val="脚注文本 字符"/>
    <w:link w:val="7"/>
    <w:semiHidden/>
    <w:qFormat/>
    <w:uiPriority w:val="99"/>
    <w:rPr>
      <w:rFonts w:ascii="Times New Roman" w:hAnsi="Times New Roman" w:eastAsia="PMingLiU"/>
      <w:kern w:val="2"/>
      <w:lang w:eastAsia="zh-TW"/>
    </w:rPr>
  </w:style>
  <w:style w:type="character" w:customStyle="1" w:styleId="22">
    <w:name w:val="批注文字 字符"/>
    <w:basedOn w:val="11"/>
    <w:link w:val="2"/>
    <w:semiHidden/>
    <w:qFormat/>
    <w:uiPriority w:val="99"/>
    <w:rPr>
      <w:kern w:val="2"/>
      <w:sz w:val="21"/>
      <w:szCs w:val="22"/>
    </w:rPr>
  </w:style>
  <w:style w:type="character" w:customStyle="1" w:styleId="23">
    <w:name w:val="批注主题 字符"/>
    <w:basedOn w:val="22"/>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916</Characters>
  <Lines>7</Lines>
  <Paragraphs>2</Paragraphs>
  <TotalTime>7</TotalTime>
  <ScaleCrop>false</ScaleCrop>
  <LinksUpToDate>false</LinksUpToDate>
  <CharactersWithSpaces>1074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2021-11-10T14:09:00Z</dcterms:created>
  <dc:creator>Dehenglaw</dc:creator>
  <cp:lastModifiedBy>袁振</cp:lastModifiedBy>
  <cp:lastPrinted>1899-12-31T00:00:00Z</cp:lastPrinted>
  <dcterms:modified xsi:type="dcterms:W3CDTF">2022-01-20T03:15:30Z</dcterms:modified>
  <dc:title>经营者集中简易案件公示表</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