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590" w:lineRule="exact"/>
        <w:rPr>
          <w:rFonts w:hint="eastAsia" w:ascii="方正黑体_GBK" w:hAnsi="宋体" w:eastAsia="方正黑体_GBK" w:cs="方正黑体_GBK"/>
          <w:snapToGrid w:val="0"/>
          <w:color w:val="000000"/>
          <w:kern w:val="32"/>
          <w:sz w:val="32"/>
          <w:szCs w:val="32"/>
          <w:lang w:eastAsia="zh-CN"/>
        </w:rPr>
      </w:pPr>
      <w:r>
        <w:rPr>
          <w:rFonts w:hint="eastAsia" w:ascii="方正黑体_GBK" w:hAnsi="宋体" w:eastAsia="方正黑体_GBK" w:cs="方正黑体_GBK"/>
          <w:snapToGrid w:val="0"/>
          <w:color w:val="000000"/>
          <w:kern w:val="32"/>
          <w:sz w:val="32"/>
          <w:szCs w:val="32"/>
        </w:rPr>
        <w:t>附件</w:t>
      </w:r>
      <w:r>
        <w:rPr>
          <w:rFonts w:hint="eastAsia" w:ascii="方正黑体_GBK" w:hAnsi="宋体" w:eastAsia="方正黑体_GBK" w:cs="方正黑体_GBK"/>
          <w:snapToGrid w:val="0"/>
          <w:color w:val="000000"/>
          <w:kern w:val="32"/>
          <w:sz w:val="32"/>
          <w:szCs w:val="32"/>
          <w:lang w:val="en-US" w:eastAsia="zh-CN"/>
        </w:rPr>
        <w:t>1</w:t>
      </w:r>
    </w:p>
    <w:p>
      <w:pPr>
        <w:topLinePunct/>
        <w:adjustRightInd w:val="0"/>
        <w:snapToGrid w:val="0"/>
        <w:spacing w:line="590" w:lineRule="exact"/>
        <w:jc w:val="center"/>
        <w:rPr>
          <w:rFonts w:hint="eastAsia" w:ascii="方正黑体_GBK" w:hAnsi="宋体" w:eastAsia="方正黑体_GBK" w:cs="方正黑体_GBK"/>
          <w:snapToGrid w:val="0"/>
          <w:color w:val="000000"/>
          <w:kern w:val="32"/>
          <w:sz w:val="32"/>
          <w:szCs w:val="32"/>
        </w:rPr>
      </w:pPr>
    </w:p>
    <w:p>
      <w:pPr>
        <w:topLinePunct/>
        <w:adjustRightInd w:val="0"/>
        <w:snapToGrid w:val="0"/>
        <w:spacing w:line="590" w:lineRule="exact"/>
        <w:jc w:val="center"/>
        <w:rPr>
          <w:rFonts w:ascii="方正黑体_GBK" w:hAnsi="宋体" w:eastAsia="方正黑体_GBK" w:cs="方正黑体_GBK"/>
          <w:snapToGrid w:val="0"/>
          <w:color w:val="000000"/>
          <w:kern w:val="32"/>
          <w:sz w:val="32"/>
          <w:szCs w:val="32"/>
        </w:rPr>
      </w:pPr>
      <w:r>
        <w:rPr>
          <w:rFonts w:hint="eastAsia" w:ascii="方正黑体_GBK" w:hAnsi="宋体" w:eastAsia="方正黑体_GBK" w:cs="方正黑体_GBK"/>
          <w:snapToGrid w:val="0"/>
          <w:color w:val="000000"/>
          <w:spacing w:val="-6"/>
          <w:kern w:val="32"/>
          <w:sz w:val="36"/>
          <w:szCs w:val="36"/>
        </w:rPr>
        <w:t>2021年省级检验检测机构能力验证结果满意机构名单</w:t>
      </w:r>
    </w:p>
    <w:p>
      <w:pPr>
        <w:topLinePunct/>
        <w:adjustRightInd w:val="0"/>
        <w:snapToGrid w:val="0"/>
        <w:spacing w:line="590" w:lineRule="exact"/>
        <w:rPr>
          <w:rFonts w:hint="eastAsia" w:ascii="方正黑体_GBK" w:hAnsi="宋体" w:eastAsia="方正黑体_GBK" w:cs="方正黑体_GBK"/>
          <w:snapToGrid w:val="0"/>
          <w:color w:val="000000"/>
          <w:spacing w:val="-6"/>
          <w:kern w:val="32"/>
          <w:sz w:val="32"/>
          <w:szCs w:val="32"/>
          <w:lang w:eastAsia="zh-CN"/>
        </w:rPr>
      </w:pPr>
    </w:p>
    <w:p>
      <w:pPr>
        <w:topLinePunct/>
        <w:adjustRightInd w:val="0"/>
        <w:snapToGrid w:val="0"/>
        <w:spacing w:line="590" w:lineRule="exact"/>
        <w:rPr>
          <w:rFonts w:ascii="方正黑体_GBK" w:hAnsi="宋体" w:eastAsia="方正黑体_GBK" w:cs="方正黑体_GBK"/>
          <w:snapToGrid w:val="0"/>
          <w:color w:val="000000"/>
          <w:kern w:val="32"/>
          <w:sz w:val="32"/>
          <w:szCs w:val="32"/>
        </w:rPr>
      </w:pPr>
      <w:r>
        <w:rPr>
          <w:rFonts w:hint="eastAsia" w:ascii="方正黑体_GBK" w:hAnsi="宋体" w:eastAsia="方正黑体_GBK" w:cs="方正黑体_GBK"/>
          <w:snapToGrid w:val="0"/>
          <w:color w:val="000000"/>
          <w:spacing w:val="-6"/>
          <w:kern w:val="32"/>
          <w:sz w:val="32"/>
          <w:szCs w:val="32"/>
          <w:lang w:eastAsia="zh-CN"/>
        </w:rPr>
        <w:t>（一）</w:t>
      </w:r>
      <w:r>
        <w:rPr>
          <w:rFonts w:hint="eastAsia" w:ascii="方正黑体_GBK" w:hAnsi="宋体" w:eastAsia="方正黑体_GBK" w:cs="方正黑体_GBK"/>
          <w:snapToGrid w:val="0"/>
          <w:color w:val="000000"/>
          <w:spacing w:val="-6"/>
          <w:kern w:val="32"/>
          <w:sz w:val="32"/>
          <w:szCs w:val="32"/>
        </w:rPr>
        <w:t>饮料中苯甲酸、山梨酸测定能力验证项目满意机构名单</w:t>
      </w:r>
    </w:p>
    <w:tbl>
      <w:tblPr>
        <w:tblStyle w:val="4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94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tblHeader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694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机构名称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昆明市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云南孚尔质量检验检测有限公司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2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云南三正技术检测有限公司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3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昆明市食品药品检验所（昆明市食品药品检验研究院）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4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云南瑞博检测技术股份有限公司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5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云南商测质量检验技术服务有限公司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6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云南云测质量检验有限公司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7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云南同创检测技术股份有限公司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8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昆明市五华区疾病预防控制中心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9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昆明市粮油饲料产品质量检验中心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  <w:r>
              <w:rPr>
                <w:rFonts w:eastAsia="等线"/>
              </w:rPr>
              <w:t>0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云南华测检测认证有限公司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  <w:r>
              <w:rPr>
                <w:rFonts w:eastAsia="等线"/>
              </w:rPr>
              <w:t>1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云南华衡检测技术有限公司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  <w:r>
              <w:rPr>
                <w:rFonts w:eastAsia="等线"/>
              </w:rPr>
              <w:t>2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云南中检检验检测技术有限公司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  <w:r>
              <w:rPr>
                <w:rFonts w:eastAsia="等线"/>
              </w:rPr>
              <w:t>3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昆明海关技术中心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  <w:r>
              <w:rPr>
                <w:rFonts w:eastAsia="等线"/>
              </w:rPr>
              <w:t>4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昆明市呈贡区疾病预防控制中心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  <w:r>
              <w:rPr>
                <w:rFonts w:eastAsia="等线"/>
              </w:rPr>
              <w:t>5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昆明铁路局集团疾病预防控制中心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  <w:r>
              <w:rPr>
                <w:rFonts w:eastAsia="等线"/>
              </w:rPr>
              <w:t>6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云南省产品质量监督检验研究院/国家热带农副产品质量监督检验中心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  <w:r>
              <w:rPr>
                <w:rFonts w:eastAsia="等线"/>
              </w:rPr>
              <w:t>7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安宁市疾病预防控制中心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  <w:r>
              <w:rPr>
                <w:rFonts w:eastAsia="等线"/>
              </w:rPr>
              <w:t>8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昆明市盘龙区疾病预防控制中心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复测满意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  <w:r>
              <w:rPr>
                <w:rFonts w:eastAsia="等线"/>
              </w:rPr>
              <w:t>9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云南天正检测技术有限公司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复测满意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2</w:t>
            </w:r>
            <w:r>
              <w:rPr>
                <w:rFonts w:eastAsia="等线"/>
              </w:rPr>
              <w:t>0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云南联大科技产业有限责任公司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复测满意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2</w:t>
            </w:r>
            <w:r>
              <w:rPr>
                <w:rFonts w:eastAsia="等线"/>
              </w:rPr>
              <w:t>1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云南省粮油科学研究院（云南省粮油产品质量监督检验测试中心）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复测满意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2</w:t>
            </w:r>
            <w:r>
              <w:rPr>
                <w:rFonts w:eastAsia="等线"/>
              </w:rPr>
              <w:t>2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昆明市疾病预防控制中心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复测满意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2</w:t>
            </w:r>
            <w:r>
              <w:rPr>
                <w:rFonts w:eastAsia="等线"/>
              </w:rPr>
              <w:t>3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云南滇检食品质量检验研究所有限公司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复测满意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昭通市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昭通市质量技术监督综合检测中心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2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昭通市食品药品检验所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3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昭通市疾病预防控制中心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4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鲁甸县疾病预防控制中心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复测满意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曲靖市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曲靖市食品药品检验检测中心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2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曲靖市疾病预防控制中心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3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罗平县市场监督管理综合检验检测中心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复测满意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4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曲靖市质量技术监督综合检测中心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复测满意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玉溪市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玉溪市疾病预防控制中心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2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玉溪市食品药品检验所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3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玉溪市质量技术监督综合检测中心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保山市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保山市质量技术监督综合检测中心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2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保山市食品药品检验检测中心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3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保山市粮油产品质量监督检验站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4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保山市疾病预防控制中心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复测满意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楚雄州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楚雄彝族自治州疾病预防控制中心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2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楚雄彝族自治州食品药品检验所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3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楚雄州质量技术监督综合检测中心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4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元谋县疾病预防控制中心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复测满意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红河州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红河哈尼族彝族自治州质量技术监督综合检测中心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2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红河哈尼族彝族自治州疾病预防控制中心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3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红河州食品药品检验所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文山州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文山壮族苗族自治州食品药品检验研究院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2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丘北县综合检验检测中心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3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文山壮族苗族自治州疾病预防控制中心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普洱市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普洱市质量技术监督综合检测中心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2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普洱市疾病预防控制中心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西双版纳州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西双版纳傣族自治州食品药品检验所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2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西双版纳傣族自治州疾病预防控制中心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3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西双版纳州质量技术监督综合检测中心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复测满意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大理州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大理州质量技术监督综合检测中心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2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祥云县综合检验检测院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3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洱源县检验检测院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4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大理白族自治州食品药品检验所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复测满意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5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永平县综合检验检测院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复测满意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6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宾川县农产品质量安全检测站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复测满意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7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大理市疾病预防控制中心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复测满意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8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大理州食品检验检测院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复测满意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9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大理州疾病预防控制中心</w:t>
            </w:r>
          </w:p>
        </w:tc>
        <w:tc>
          <w:tcPr>
            <w:tcW w:w="1134" w:type="dxa"/>
            <w:vAlign w:val="bottom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复测满意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德宏州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德宏州质量技术监督综合检测中心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2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瑞丽市食品药品检验所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复测满意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丽江市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丽江市食品药品检验所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2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丽江市质量技术监督综合检测中心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3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丽江市疾病预防控制中心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4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玉龙纳西族自治县疾病预防控制中心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怒江州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怒江傈僳族自治州食品药品检验所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2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怒江傈僳族自治州疾病预防控制中心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复测满意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迪庆州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迪庆藏族自治州食品药品检验所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2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迪庆州质量技术监督综合检测中心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3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迪庆藏族自治州疾病预防控制中心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复测满意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3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临沧市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1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临沧市食品药品检验所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eastAsia="等线"/>
              </w:rPr>
            </w:pPr>
            <w:r>
              <w:rPr>
                <w:rFonts w:hint="eastAsia" w:eastAsia="等线"/>
              </w:rPr>
              <w:t>2</w:t>
            </w:r>
          </w:p>
        </w:tc>
        <w:tc>
          <w:tcPr>
            <w:tcW w:w="6946" w:type="dxa"/>
            <w:vAlign w:val="bottom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临沧市质量技术监督综合检测中心</w:t>
            </w:r>
          </w:p>
        </w:tc>
        <w:tc>
          <w:tcPr>
            <w:tcW w:w="1134" w:type="dxa"/>
            <w:vAlign w:val="bottom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</w:p>
        </w:tc>
      </w:tr>
    </w:tbl>
    <w:p>
      <w:pPr>
        <w:topLinePunct/>
        <w:adjustRightInd w:val="0"/>
        <w:snapToGrid w:val="0"/>
        <w:spacing w:line="590" w:lineRule="exact"/>
        <w:rPr>
          <w:rFonts w:hint="eastAsia" w:ascii="方正黑体_GBK" w:hAnsi="宋体" w:eastAsia="方正黑体_GBK" w:cs="方正黑体_GBK"/>
          <w:snapToGrid w:val="0"/>
          <w:color w:val="000000"/>
          <w:kern w:val="32"/>
          <w:sz w:val="32"/>
          <w:szCs w:val="32"/>
          <w:lang w:eastAsia="zh-CN"/>
        </w:rPr>
      </w:pPr>
    </w:p>
    <w:p>
      <w:pPr>
        <w:topLinePunct/>
        <w:adjustRightInd w:val="0"/>
        <w:snapToGrid w:val="0"/>
        <w:spacing w:line="590" w:lineRule="exact"/>
        <w:rPr>
          <w:rFonts w:hint="eastAsia" w:ascii="方正黑体_GBK" w:hAnsi="宋体" w:eastAsia="方正黑体_GBK" w:cs="方正黑体_GBK"/>
          <w:snapToGrid w:val="0"/>
          <w:color w:val="000000"/>
          <w:kern w:val="32"/>
          <w:sz w:val="32"/>
          <w:szCs w:val="32"/>
          <w:lang w:eastAsia="zh-CN"/>
        </w:rPr>
      </w:pPr>
    </w:p>
    <w:p>
      <w:pPr>
        <w:topLinePunct/>
        <w:adjustRightInd w:val="0"/>
        <w:snapToGrid w:val="0"/>
        <w:spacing w:line="590" w:lineRule="exact"/>
        <w:rPr>
          <w:rFonts w:hint="eastAsia" w:ascii="方正黑体_GBK" w:hAnsi="宋体" w:eastAsia="方正黑体_GBK" w:cs="方正黑体_GBK"/>
          <w:snapToGrid w:val="0"/>
          <w:color w:val="000000"/>
          <w:kern w:val="32"/>
          <w:sz w:val="32"/>
          <w:szCs w:val="32"/>
          <w:lang w:eastAsia="zh-CN"/>
        </w:rPr>
      </w:pPr>
    </w:p>
    <w:p>
      <w:pPr>
        <w:topLinePunct/>
        <w:adjustRightInd w:val="0"/>
        <w:snapToGrid w:val="0"/>
        <w:spacing w:line="590" w:lineRule="exact"/>
        <w:rPr>
          <w:rFonts w:hint="eastAsia" w:ascii="方正黑体_GBK" w:hAnsi="宋体" w:eastAsia="方正黑体_GBK" w:cs="方正黑体_GBK"/>
          <w:snapToGrid w:val="0"/>
          <w:color w:val="000000"/>
          <w:kern w:val="32"/>
          <w:sz w:val="32"/>
          <w:szCs w:val="32"/>
          <w:lang w:eastAsia="zh-CN"/>
        </w:rPr>
      </w:pPr>
    </w:p>
    <w:p>
      <w:pPr>
        <w:topLinePunct/>
        <w:adjustRightInd w:val="0"/>
        <w:snapToGrid w:val="0"/>
        <w:spacing w:line="590" w:lineRule="exact"/>
        <w:rPr>
          <w:rFonts w:hint="eastAsia" w:ascii="方正黑体_GBK" w:hAnsi="宋体" w:eastAsia="方正黑体_GBK" w:cs="方正黑体_GBK"/>
          <w:snapToGrid w:val="0"/>
          <w:color w:val="000000"/>
          <w:kern w:val="32"/>
          <w:sz w:val="32"/>
          <w:szCs w:val="32"/>
          <w:lang w:eastAsia="zh-CN"/>
        </w:rPr>
      </w:pPr>
    </w:p>
    <w:p>
      <w:pPr>
        <w:topLinePunct/>
        <w:adjustRightInd w:val="0"/>
        <w:snapToGrid w:val="0"/>
        <w:spacing w:line="590" w:lineRule="exact"/>
        <w:rPr>
          <w:rFonts w:hint="eastAsia" w:ascii="方正黑体_GBK" w:hAnsi="宋体" w:eastAsia="方正黑体_GBK" w:cs="方正黑体_GBK"/>
          <w:snapToGrid w:val="0"/>
          <w:color w:val="000000"/>
          <w:kern w:val="32"/>
          <w:sz w:val="32"/>
          <w:szCs w:val="32"/>
          <w:lang w:eastAsia="zh-CN"/>
        </w:rPr>
      </w:pPr>
    </w:p>
    <w:p>
      <w:pPr>
        <w:topLinePunct/>
        <w:adjustRightInd w:val="0"/>
        <w:snapToGrid w:val="0"/>
        <w:spacing w:line="590" w:lineRule="exact"/>
        <w:rPr>
          <w:rFonts w:hint="eastAsia" w:ascii="方正黑体_GBK" w:hAnsi="宋体" w:eastAsia="方正黑体_GBK" w:cs="方正黑体_GBK"/>
          <w:snapToGrid w:val="0"/>
          <w:color w:val="000000"/>
          <w:kern w:val="32"/>
          <w:sz w:val="32"/>
          <w:szCs w:val="32"/>
          <w:lang w:eastAsia="zh-CN"/>
        </w:rPr>
      </w:pPr>
    </w:p>
    <w:p>
      <w:pPr>
        <w:topLinePunct/>
        <w:adjustRightInd w:val="0"/>
        <w:snapToGrid w:val="0"/>
        <w:spacing w:line="590" w:lineRule="exact"/>
        <w:rPr>
          <w:rFonts w:hint="eastAsia" w:ascii="方正黑体_GBK" w:hAnsi="宋体" w:eastAsia="方正黑体_GBK" w:cs="方正黑体_GBK"/>
          <w:snapToGrid w:val="0"/>
          <w:color w:val="000000"/>
          <w:kern w:val="32"/>
          <w:sz w:val="32"/>
          <w:szCs w:val="32"/>
          <w:lang w:eastAsia="zh-CN"/>
        </w:rPr>
      </w:pPr>
    </w:p>
    <w:p>
      <w:pPr>
        <w:topLinePunct/>
        <w:adjustRightInd w:val="0"/>
        <w:snapToGrid w:val="0"/>
        <w:spacing w:line="590" w:lineRule="exact"/>
        <w:rPr>
          <w:rFonts w:hint="eastAsia" w:ascii="方正黑体_GBK" w:hAnsi="宋体" w:eastAsia="方正黑体_GBK" w:cs="方正黑体_GBK"/>
          <w:snapToGrid w:val="0"/>
          <w:color w:val="000000"/>
          <w:kern w:val="32"/>
          <w:sz w:val="32"/>
          <w:szCs w:val="32"/>
          <w:lang w:eastAsia="zh-CN"/>
        </w:rPr>
      </w:pPr>
    </w:p>
    <w:p>
      <w:pPr>
        <w:topLinePunct/>
        <w:adjustRightInd w:val="0"/>
        <w:snapToGrid w:val="0"/>
        <w:spacing w:line="590" w:lineRule="exact"/>
        <w:rPr>
          <w:rFonts w:ascii="方正黑体_GBK" w:hAnsi="宋体" w:eastAsia="方正黑体_GBK" w:cs="方正黑体_GBK"/>
          <w:snapToGrid w:val="0"/>
          <w:color w:val="000000"/>
          <w:kern w:val="32"/>
          <w:sz w:val="32"/>
          <w:szCs w:val="32"/>
        </w:rPr>
      </w:pPr>
      <w:r>
        <w:rPr>
          <w:rFonts w:hint="eastAsia" w:ascii="方正黑体_GBK" w:hAnsi="宋体" w:eastAsia="方正黑体_GBK" w:cs="方正黑体_GBK"/>
          <w:snapToGrid w:val="0"/>
          <w:color w:val="000000"/>
          <w:kern w:val="32"/>
          <w:sz w:val="32"/>
          <w:szCs w:val="32"/>
          <w:lang w:eastAsia="zh-CN"/>
        </w:rPr>
        <w:t>（二）</w:t>
      </w:r>
      <w:r>
        <w:rPr>
          <w:rFonts w:hint="eastAsia" w:ascii="方正黑体_GBK" w:hAnsi="宋体" w:eastAsia="方正黑体_GBK" w:cs="方正黑体_GBK"/>
          <w:snapToGrid w:val="0"/>
          <w:color w:val="000000"/>
          <w:kern w:val="32"/>
          <w:sz w:val="32"/>
          <w:szCs w:val="32"/>
        </w:rPr>
        <w:t>水泥物理性能检测能力验证项目满意机构名单</w:t>
      </w:r>
    </w:p>
    <w:p>
      <w:pPr>
        <w:topLinePunct/>
        <w:adjustRightInd w:val="0"/>
        <w:snapToGrid w:val="0"/>
        <w:spacing w:line="590" w:lineRule="exact"/>
        <w:rPr>
          <w:rFonts w:ascii="方正黑体_GBK" w:hAnsi="宋体" w:eastAsia="方正黑体_GBK" w:cs="方正黑体_GBK"/>
          <w:snapToGrid w:val="0"/>
          <w:color w:val="000000"/>
          <w:kern w:val="32"/>
          <w:sz w:val="28"/>
          <w:szCs w:val="28"/>
        </w:rPr>
      </w:pPr>
    </w:p>
    <w:tbl>
      <w:tblPr>
        <w:tblStyle w:val="4"/>
        <w:tblW w:w="88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628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序号</w:t>
            </w:r>
          </w:p>
        </w:tc>
        <w:tc>
          <w:tcPr>
            <w:tcW w:w="6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机构名称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昆明市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云南方宏建筑工程检测有限公司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云南佳盛工程检测有限公司（安宁检测站）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云南思欧工程检测鉴定有限公司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云南云水工程技术检测有限公司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云南昊昇工程检测技术有限公司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昆明浩淼水利水电工程检测有限公司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云南云交建工程试验检测有限公司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云南楚天工程检测有限公司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云南建材研发测试中心（云南省水泥混凝土产品质量监督检验站）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中国建材检验认证集团云南合信有限公司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云南省公路科学技术研究院工程检测中心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云南河海水利水电工程质量检测有限公司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云南金晟建设工程检测科技有限公司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昆明扬禹水电工程质量检测有限公司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云南达峰工程质量检测鉴定有限公司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云南路建集团欣业工程质量检测有限公司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6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云南云检工程技术检测有限公司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6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云南路电工程检测技术有限公司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6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云南鸿禹水利水电工程质量检测有限责任公司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云南博泰工程质量检测有限公司（昆明中心）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云南泓铭建设工程质量鉴定有限公司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云南云路工程检测有限公司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云南阳光钜红工程试验检测有限责任公司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昆明远帆工程质量检测有限公司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云南恒鼎质量研究院有限公司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云南博竣检测技术咨询服务有限公司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云南荣鼎建设工程检测技术有限公司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云南省地质矿产勘查开发局中心实验室（国土资源部昆明矿产资源监督检测中心）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云南博壹检测技术有限公司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云南高科达公路工程质量检测有限公司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昆明市建设工程质量检测中心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国投工程检验检测有限公司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云南鑫世华工程质量检测有限责任公司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云南交通土木工程检测研究中心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云南路建工程检测咨询有限公司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云南华昆水电水利科学研究有限公司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云南奥邦工程检测有限公司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云南恒纬建筑工程质量检测有限公司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云南建投博昕工程建设中心试验有限公司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云南容源环境质量检测有限公司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云南特斯特建设工程检测有限公司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云南佰昂建设工程检测有限公司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云南航安工程检测有限公司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云南图兴建设工程检测有限公司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云南华都工程质量检测有限公司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云南勘中达岩土工程质量检测有限公司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云南云岭高原山区公路工程检测有限公司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中国电建集团昆明勘测设计研究院有限公司科学试验研究院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云南通衢工程检测有限公司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昆明呈贡区城投建筑工程质量检测中心有限公司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国投工程检验检测有限公司滇中检测中心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中铭恒业检验检测有限公司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云南滇藏工程检测有限公司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云南百衡工程咨询有限公司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云南路捷交通咨询有限公司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云南金驰建筑工程质量检测有限公司嵩明分公司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云南省建筑材料产品质量检验研究院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6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云南冶金建设工程质量检测有限公司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6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昆明市市政工程质量检测有限公司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6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云南华勘工程技术咨询有限公司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6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云南千岩工程质量检测有限公司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昆明臻盟建筑工程质量检测有限公司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苏交科集团检测认证有限公司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云南道桥工程检测有限公司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云南铁科工程检测有限公司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云南恒峰工程质量检测有限公司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昆明市官渡区建设工程质量检测中心有限公司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昆明学院科技开发服务中心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云南融跃检测技术有限公司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昆明市晋宁区建设工程质量检测有限公司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石林县建设工程质量检测中心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富民县建设工程质量检测中心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云南国地工程检测咨询有限公司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昆明伟业工程技术有限责任公司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嵩明县建设工程质量检测中心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昆明市东川区建投建设工程质量检测有限公司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昆明诚晖工程质量检测有限公司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云南双翔建设检测技术有限公司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云南云桥工程质量检测有限公司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昆明必和必真工程质量检测有限公司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云南锐锦工程质量检测有限责任公司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云南群驰建筑工程检测有限公司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云南禾凯建筑工程检测有限公司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云南杰岩建筑工程检测有限公司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昆明谦诚工程检测有限公司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云南达信建设工程质量检测有限公司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云南交航工程科技有限公司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云南瑞博检测技术股份有限公司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云南建筑工程质量检验站有限公司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云南圣迪工程质量检测有限公司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云南赛安得建设工程质量检测有限公司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云南航天工程物探检测股份有限公司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昆明市公路工程质量检测中心有限公司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云南康茂水利水电工程检测有限公司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云南宏程卓越建设工程技术有限公司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云南润诺建筑工程检测有限公司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云南赛野建筑工程质量检测有限公司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云南铠昕工程检测有限公司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云南路信工程检测有限公司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云南云智工程检测鉴定有限公司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6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云南恒昊建设工程检测有限责任公司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6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云南宏固工程检测有限公司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6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云南理工检测科技有限公司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6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云南华水投资管理有限公司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云南科仑工程质量检测有限公司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云南省公路科学技术研究院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云南宇舟检测技术有限公司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云南晋熙建设工程检测有限公司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云南金驰建筑工程质量检测有限公司茨坝实验室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寻甸回族彝族自治县建设工程质量检测中心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云南米庆建设工程质量检测有限公司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昆明铁路中志科技发展有限公司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昭通市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昭通市建设工程质量检测中心有限责任公司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云南双翔建设检测技术有限公司镇雄检测部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云南赛野建筑工程质量检测有限公司（巧家分部）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巧家县建设工程质量检测中心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云南路信工程检测有限公司（昭通站）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永善县建设工程质量检测中心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云南宇舟检测技术有限公司威信分公司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绥江县建设工程质量检测中心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昭通市润源建设工程质量检测咨询有限公司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云南金驰建筑工程质量检测有限公司昭通分公司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昭通市公路工程检测有限公司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水富城投建设工程质量检测有限公司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云南双翔建设检测技术有限公司威信检测部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昭通市质量技术监督综合检测中心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云南金驰建筑工程质量检测有限公司镇雄分公司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曲靖市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曲靖市沾益区建设工程质量检测中心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云南荣鼎建设工程检测技术有限公司曲靖分公司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曲靖市杰盟公路试验检测有限责任公司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罗平县建筑工程质量检测中心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云南科仑工程质量检测有限公司曲靖麒麟分公司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师宗县城投建设工程质量检测有限公司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曲靖市质量技术监督综合检测中心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云南博泰工程质量检测有限公司曲靖分室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云南佳盛工程检测有限公司（罗平检测站）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曲靖诚丰岩土工程试验检测有限公司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云南楚天工程检测有限公司曲靖分部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曲靖呈玮建设工程质量检测有限公司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曲靖市建设工程质量检测有限责任公司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玉溪市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云南活泰工程质量检测有限公司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云南衍和工程检测有限公司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云南博泰工程质量检测有限公司玉溪分公司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玉溪市建设工程质量检测中心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云南华水投资管理有限公司玉溪分公司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玉溪市红塔区建设工程质量检测中心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通海县建设工程质量检测中心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云南煜展建设工程检测有限公司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云南百衡工程咨询有限公司玉溪分公司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云南金驰建筑工程质量检测有限公司玉溪分公司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玉溪市质量技术监督综合检测中心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保山市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云南双翔建设检测技术有限公司腾冲检测部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云南润铭科技有限公司（昌宁实验室）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云南省保山市建设工程质量检测中心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腾冲县建设工程质量检测中心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云南科仑工程质量检测有限公司（滇西中心试验室）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保山市质量技术监督综合检测中心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云南保山市万润水利电力勘测设计有限公司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保山城安检测有限公司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云南润铭科技有限公司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楚雄州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昆明伟业工程技术有限责任公司（武定实验室）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楚雄欣盛工程质量检测有限公司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楚雄永德工程质量检测有限公司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南华县建设工程质量检测中心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大姚县建设工程质量检测中心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云南建检工程检测鉴定有限公司楚雄市分公司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云南建检工程检测鉴定有限公司武定分公司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云南建检工程检测鉴定有限公司永仁分公司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楚雄润泽工程质量检测有限公司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楚雄州质量技术监督综合检测中心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云南竭诚工程检测有限公司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牟定县建设工程质量检测中心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武定县建设工程质量检测中心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楚雄市建设工程质量检测中心有限公司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云南金晟建设工程检测科技有限公司楚雄分公司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云南路桥试验检测有限公司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楚雄州建设工程质量检测中心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楚雄州建设工程质量检测中心（双建路）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6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云南仁恒工程质量检测有限公司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双柏县建设工程质量检测中心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云南建检工程检测鉴定有限公司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云南云检工程技术检测有限公司楚雄分公司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红河州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红河州红禹工程质量检测有限责任公司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开远市工程质量检测中心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石屏县建设工程质量检测中心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红河州建设工程质量检测中心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红河州大道公路工程质量检测有限公司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建水县名邦建设工程质量检测有限责任公司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红河哈尼族彝族自治州质量技术监督综合检测中心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红河县建设工程质量检测中心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国投工程检验检测有限公司蒙自分部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云南百衡工程咨询有限公司红河州分公司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云南金驰建筑工程质量检测有限公司红河分公司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个旧市建设工程质量检测中心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弥勒市建设工程质量检测中心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云南精鑫建设工程质量检测有限公司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红河州恒圣建设工程质量检测有限公司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泸西众信建设工程质量检测有限公司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建水县恒欣建设工程检测有限公司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云南华都工程质量检测有限公司红河州分公司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文山州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文山州水利水电工程质量检测站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文山兴衡水电工程质量检测有限公司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文山市宏禹水利水电工程技术咨询有限公司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文山交投集团工程质量检测有限公司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文山州建设工程质量检测中心有限公司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文山州质量技术监督综合检测中心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富宁县建设工程质量检测中心有限公司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文山市建设工程质量检测中心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砚山县建设工程质量监督检测中心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普洱市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云南至上工程检测有限公司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普洱滇筑工程检测有限公司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普洱盛泰工程检测有限公司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普洱市思茅区建设工程质量检测中心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普洱市质量技术监督综合检测中心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普洱市润普工程质量检测有限公司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江城县建设工程质量检测中心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镇沅彝族哈尼族拉祜族自治县建设工程质量检测中心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普洱路盈公路工程检测有限公司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普洱诚实信工程技术检测有限公司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普洱市建设工程质量检测中心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西双版纳州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西双版纳州公路建设质量检测中心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景洪市建设工程质量检测中心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西双版纳屹创辉建设工程质量检测中心有限责任公司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勐海政通建设工程质量检测有限公司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勐腊新智恒工程质量检测有限公司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云南宇舟检测技术有限公司西双版纳实验室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云南达峰工程质量检测鉴定有限公司景洪分场所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云南荣鼎建设工程检测技术有限公司勐腊分公司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大理州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大理市建设工程质量检测中心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云南佳盛工程检测有限公司（鹤庆检测站）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云南恒安建筑工程质量检测有限公司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云南恒安建筑工程质量检测有限公司（南涧检测分室）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巍山帆鹏工程质量检测有限公司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云南中欣工程质量检测科技有限公司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云南双翔建设检测技术有限公司大理检测二部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云南双翔建设检测技术有限公司大理检测一部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洱源县建设工程质量检测中心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大理润达工程质量检测有限公司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德宏润宏工程质量检测咨询有限公司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云南兴利工程质量检测有限公司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大理衡宇建设工程检测有限公司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云龙县建设工程质量检测中心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宾川县建设工程质量检测中心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剑川县诚正建设工程质量检测有限责任公司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国投工程检验检测有限公司大理分部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弥渡县建设工程质量检测中心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云南金驰建筑工程质量检测有限公司祥云分公司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祥云县建设工程质量检测中心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大理佑丰建设工程检测有限责任公司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大理州宏诚试验检测有限公司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大理州质量技术监督综合检测中心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鹤庆县建设工程质量检测中心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大理弼元项目管理咨询有限公司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大理州建设工程质量检测中心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云南路一试验检测有限公司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德宏州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德宏州九康公路试验检测有限公司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云南天邺工程检测有限公司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德宏同盛工程检测有限公司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德宏州远宏水利水电技术咨询有限公司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德宏州质量技术监督综合检测中心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德宏州建设工程质量检测中心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丽江市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丽江路达工程检测咨询有限公司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丽江市古城区磐石工程材料检测有限公司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丽江市质量技术监督综合检测中心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云南恒丰工程质量检测有限公司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丽江市建设工程质量检测中心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丽江方正工程质量检测有限公司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永胜县建设工程质量检测中心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怒江州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云南佳盛工程检测有限公司（贡山检测站）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云南佳盛工程检测有限公司（怒江检测站）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兰坪县沘江建设工程质量检测有限公司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福贡县泰安建设工程质量检测有限公司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怒江州质量技术监督综合检测中心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泸水建设工程质量检测中心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迪庆州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迪庆佰晟工程质量检测中心有限公司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迪庆州质量技术监督综合检测中心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临沧市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云县建设工程质量检测中心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复测满意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云南楚天工程检测有限公司双江试验室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云南思广益工程技术检测有限公司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临沧市公路建设工程质量检测有限公司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临沧市临翔区建设工程质量检测中心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临沧市质量技术监督综合检测中心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6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临沧市岩土工程有限责任公司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358EB"/>
    <w:rsid w:val="175856E6"/>
    <w:rsid w:val="354358EB"/>
    <w:rsid w:val="381264F4"/>
    <w:rsid w:val="3E7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云南省工商行政管理局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2022-01-13T07:33:00Z</dcterms:created>
  <dc:creator>李苑玮【办公室】</dc:creator>
  <cp:lastModifiedBy>李苑玮【办公室】</cp:lastModifiedBy>
  <dcterms:modified xsi:type="dcterms:W3CDTF">2022-01-13T07:34:14Z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