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auto"/>
          <w:kern w:val="2"/>
          <w:sz w:val="52"/>
          <w:szCs w:val="52"/>
        </w:rPr>
      </w:pPr>
      <w:r>
        <w:rPr>
          <w:rFonts w:hint="default" w:ascii="Times New Roman" w:hAnsi="Times New Roman" w:eastAsia="黑体" w:cs="Times New Roman"/>
          <w:bCs/>
          <w:color w:val="auto"/>
          <w:spacing w:val="30"/>
          <w:kern w:val="0"/>
          <w:sz w:val="52"/>
          <w:szCs w:val="52"/>
          <w:fitText w:val="5742" w:id="434980390"/>
        </w:rPr>
        <w:t>国家市场监督管理总</w:t>
      </w:r>
      <w:r>
        <w:rPr>
          <w:rFonts w:hint="default" w:ascii="Times New Roman" w:hAnsi="Times New Roman" w:eastAsia="黑体" w:cs="Times New Roman"/>
          <w:bCs/>
          <w:color w:val="auto"/>
          <w:spacing w:val="1"/>
          <w:kern w:val="0"/>
          <w:sz w:val="52"/>
          <w:szCs w:val="52"/>
          <w:fitText w:val="5742" w:id="434980390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color w:val="auto"/>
          <w:spacing w:val="175"/>
          <w:kern w:val="0"/>
          <w:sz w:val="52"/>
          <w:szCs w:val="52"/>
          <w:fitText w:val="5742" w:id="1"/>
        </w:rPr>
        <w:t>行政处罚决定</w:t>
      </w:r>
      <w:r>
        <w:rPr>
          <w:rFonts w:hint="default" w:ascii="Times New Roman" w:hAnsi="Times New Roman" w:eastAsia="黑体" w:cs="Times New Roman"/>
          <w:bCs/>
          <w:color w:val="auto"/>
          <w:spacing w:val="1"/>
          <w:kern w:val="0"/>
          <w:sz w:val="52"/>
          <w:szCs w:val="52"/>
          <w:fitText w:val="5742" w:id="1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国市监处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〔202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〕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131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当事人：</w:t>
      </w:r>
      <w:r>
        <w:rPr>
          <w:rFonts w:hint="eastAsia" w:ascii="Times New Roman" w:hAnsi="Times New Roman" w:eastAsia="仿宋_GB2312" w:cs="Times New Roman"/>
          <w:sz w:val="32"/>
          <w:szCs w:val="36"/>
          <w:lang w:val="en-US" w:eastAsia="zh-CN"/>
        </w:rPr>
        <w:t>青岛海信网络科技股份有限公司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 xml:space="preserve">住 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所：</w:t>
      </w:r>
      <w:r>
        <w:rPr>
          <w:rFonts w:hint="eastAsia" w:ascii="Times New Roman" w:hAnsi="Times New Roman" w:eastAsia="仿宋_GB2312" w:cs="Times New Roman"/>
          <w:sz w:val="32"/>
          <w:szCs w:val="36"/>
          <w:lang w:val="en-US" w:eastAsia="zh-CN"/>
        </w:rPr>
        <w:t>青岛市高科技工业园宁夏路308号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当事人：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腾讯控股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有限公司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Tencent Holdings Limited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住 所：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开曼群岛哈金斯大道克里奇广场2681邮箱（Cricket Square Hutchins Drive P.O.Box 2681 Grand Cayman KYI-1111 Cayman Islands)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594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根据《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中华人民共和国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反垄断法》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（以下简称《反垄断法》）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《经营者集中审查暂行规定》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，本机关于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月12日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6"/>
          <w:lang w:val="en-US" w:eastAsia="zh-CN"/>
        </w:rPr>
        <w:t>青岛海信网络科技股份有限公司（以下简称海信网科）与</w:t>
      </w:r>
      <w:r>
        <w:rPr>
          <w:rFonts w:hint="default" w:ascii="Times New Roman" w:hAnsi="Times New Roman" w:eastAsia="仿宋_GB2312" w:cs="Times New Roman"/>
          <w:sz w:val="32"/>
        </w:rPr>
        <w:t>腾讯控股有限公司（以下简称腾讯）</w:t>
      </w:r>
      <w:r>
        <w:rPr>
          <w:rFonts w:hint="eastAsia" w:ascii="Times New Roman" w:hAnsi="Times New Roman" w:eastAsia="仿宋_GB2312" w:cs="Times New Roman"/>
          <w:sz w:val="32"/>
          <w:szCs w:val="36"/>
          <w:lang w:val="en-US" w:eastAsia="zh-CN"/>
        </w:rPr>
        <w:t>设立合营企业数字青岛建设有限公司（以下简称数字青岛）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涉嫌未依法申报违法实施经营者集中案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进行立案调查。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 w:val="0"/>
        <w:bidi w:val="0"/>
        <w:adjustRightInd w:val="0"/>
        <w:snapToGrid/>
        <w:spacing w:before="0" w:beforeAutospacing="0" w:afterAutospacing="0" w:line="594" w:lineRule="exact"/>
        <w:ind w:left="0" w:right="0" w:firstLine="628" w:firstLineChars="20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经查，该案构成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未依法申报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违法实施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经营者集中，但不具有排除、限制竞争的效果。本机关按照《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中华人民共和国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行政处罚法》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（以下简称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《行政处罚法》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的规定，向</w:t>
      </w:r>
      <w:r>
        <w:rPr>
          <w:rFonts w:hint="eastAsia" w:ascii="Times New Roman" w:hAnsi="Times New Roman" w:eastAsia="仿宋_GB2312" w:cs="Times New Roman"/>
          <w:sz w:val="32"/>
          <w:szCs w:val="36"/>
          <w:lang w:val="en-US" w:eastAsia="zh-CN"/>
        </w:rPr>
        <w:t>海信网科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</w:rPr>
        <w:t>腾讯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送达了《行政处罚告知书》，告知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当事人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拟作出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行政处罚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内容及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事实、理由、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依据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并告知当事人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依法享有的陈述、申辩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要求听证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利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6"/>
          <w:lang w:val="en-US" w:eastAsia="zh-CN"/>
        </w:rPr>
        <w:t>海信网科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</w:rPr>
        <w:t>腾讯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"/>
        </w:rPr>
        <w:t>书面来函放弃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陈述、申辩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"/>
        </w:rPr>
        <w:t>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要求听证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"/>
        </w:rPr>
        <w:t>的权利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。本案现已调查、审理终结。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（一）交易方。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94" w:lineRule="exact"/>
        <w:ind w:left="0" w:left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合营方一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海信网科。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2000年12月于山东省青岛市注册成立，是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（略）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的子公司。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（略）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主要从事多媒体、家电、IT智能信息系统和现代服务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业务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2019年全球营业额为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（略）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人民币（币种下同）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，中国境内营业额为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（略）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left="0" w:leftChars="0" w:firstLine="628" w:firstLineChars="200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合营方二：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腾讯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1999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11月于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英属维尔京群岛注册成立，2004年2月迁册至英属开曼群岛，2004年6月在香港联交所上市，通过协议控制境内主要运营实体深圳市腾讯计算机系统有限公司。主要业务包括社交和通信服务、社交网络平台、游戏、网络视频服务、互动娱乐直播等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年全球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营业额为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（略）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中国境内营业额为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（略）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（二）交易概况。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1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2"/>
          <w:szCs w:val="36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交易系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新设合营企业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2020年3月12日，海信网科与青岛启迪大数据有限责任公司（以下简称青岛启迪）、腾讯（通过深圳市腾讯投资产业创投有限公司）、青岛华通科技投资有限责任公司（以下简称华通科技）签署《合资协议书》，设立合营企业数字青岛，海信网科持股45%，青岛启迪持股28%，腾讯持股15%，华通科技持股12%。根据《公司章程》，腾讯与海信网科共同控制合营企业，</w:t>
      </w:r>
      <w:r>
        <w:rPr>
          <w:rFonts w:hint="eastAsia" w:ascii="Times New Roman" w:hAnsi="Times New Roman" w:eastAsia="仿宋_GB2312" w:cs="Times New Roman"/>
          <w:bCs/>
          <w:sz w:val="32"/>
          <w:szCs w:val="36"/>
          <w:lang w:val="en-US" w:eastAsia="zh-CN"/>
        </w:rPr>
        <w:t>青岛启迪与华通科技对合营企业无控制权。</w:t>
      </w:r>
      <w:r>
        <w:rPr>
          <w:rFonts w:hint="default" w:ascii="Times New Roman" w:hAnsi="Times New Roman" w:eastAsia="仿宋_GB2312" w:cs="Times New Roman"/>
          <w:sz w:val="32"/>
        </w:rPr>
        <w:t>20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</w:rPr>
        <w:t>年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</w:rPr>
        <w:t>月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32"/>
        </w:rPr>
        <w:t>日，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合营企业数字青岛注册成立。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二、违法事实及理由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（一）本案构成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lang w:eastAsia="zh-CN"/>
        </w:rPr>
        <w:t>未依法申报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违法实施的经营者集中。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left="0" w:leftChars="0" w:firstLine="628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《反垄断法》第二十条规定“经营者集中是指下列情形：（一）经营者合并；（二）经营者通过取得股权或者资产的方式取得对其他经营者的控制权；（三）经营者通过合同等方式取得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对其他经营者的控制权或者能够对其他经营者施加决定性影响”。</w:t>
      </w:r>
      <w:r>
        <w:rPr>
          <w:rFonts w:hint="default" w:ascii="Times New Roman" w:hAnsi="Times New Roman" w:eastAsia="仿宋_GB2312" w:cs="Times New Roman"/>
          <w:sz w:val="32"/>
        </w:rPr>
        <w:t>20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</w:rPr>
        <w:t>年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</w:rPr>
        <w:t>月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</w:rPr>
        <w:t>日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海信网科、青岛启迪、腾讯、华通科技设立合营企业数字青岛，分别持股45%、28%、15%、12%，根据《公司章程》第15、16、17</w:t>
      </w:r>
      <w:r>
        <w:rPr>
          <w:rFonts w:hint="eastAsia" w:eastAsia="仿宋_GB2312" w:cs="Times New Roman"/>
          <w:sz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21条</w:t>
      </w:r>
      <w:r>
        <w:rPr>
          <w:rFonts w:hint="eastAsia" w:eastAsia="仿宋_GB2312" w:cs="Times New Roman"/>
          <w:sz w:val="32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规定，海信网科与腾讯共同控制合营企业，</w:t>
      </w:r>
      <w:r>
        <w:rPr>
          <w:rFonts w:hint="default" w:ascii="Times New Roman" w:hAnsi="Times New Roman" w:eastAsia="仿宋_GB2312" w:cs="Times New Roman"/>
          <w:bCs/>
          <w:sz w:val="32"/>
          <w:szCs w:val="36"/>
        </w:rPr>
        <w:t>属于《反垄断法》第二十条规定的经营者集中。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仿宋_GB2312" w:cs="Times New Roman"/>
          <w:bCs/>
          <w:sz w:val="32"/>
        </w:rPr>
      </w:pPr>
      <w:r>
        <w:rPr>
          <w:rFonts w:hint="default" w:ascii="Times New Roman" w:hAnsi="Times New Roman" w:eastAsia="仿宋_GB2312" w:cs="Times New Roman"/>
          <w:bCs/>
          <w:sz w:val="32"/>
        </w:rPr>
        <w:t>201</w:t>
      </w:r>
      <w:r>
        <w:rPr>
          <w:rFonts w:hint="eastAsia" w:ascii="Times New Roman" w:hAnsi="Times New Roman" w:eastAsia="仿宋_GB2312" w:cs="Times New Roman"/>
          <w:bCs/>
          <w:sz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Cs/>
          <w:sz w:val="32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lang w:val="en-US" w:eastAsia="zh-CN"/>
        </w:rPr>
        <w:t>度，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海信网科全球营业额为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（略）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，中国境内营业额为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（略）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bCs/>
          <w:sz w:val="32"/>
          <w:lang w:val="en-US" w:eastAsia="zh-CN"/>
        </w:rPr>
        <w:t>腾讯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营业额为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（略）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中国境内营业额为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（略）</w:t>
      </w:r>
      <w:r>
        <w:rPr>
          <w:rFonts w:hint="eastAsia" w:ascii="Times New Roman" w:hAnsi="Times New Roman" w:eastAsia="仿宋_GB2312" w:cs="Times New Roman"/>
          <w:bCs/>
          <w:sz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sz w:val="32"/>
        </w:rPr>
        <w:t>达到《国务院关于经营者集中申报标准的规定》第三条规定的申报标准，属于应当申报的情形。</w:t>
      </w:r>
    </w:p>
    <w:p>
      <w:pPr>
        <w:pStyle w:val="5"/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94" w:lineRule="exact"/>
        <w:ind w:firstLine="628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《反垄断法》第二十一条规定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营者集中达到国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务院规定的申报标准的，经营者应当事先向国务院反垄断执法机构申报，未申报的不得实施集中”。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2020年3月26日</w:t>
      </w:r>
      <w:r>
        <w:rPr>
          <w:rFonts w:hint="default" w:ascii="Times New Roman" w:hAnsi="Times New Roman" w:eastAsia="仿宋_GB2312" w:cs="Times New Roman"/>
          <w:bCs/>
          <w:sz w:val="32"/>
          <w:szCs w:val="36"/>
        </w:rPr>
        <w:t>，</w:t>
      </w:r>
      <w:r>
        <w:rPr>
          <w:rFonts w:hint="eastAsia" w:ascii="Times New Roman" w:hAnsi="Times New Roman" w:eastAsia="仿宋_GB2312" w:cs="Times New Roman"/>
          <w:bCs/>
          <w:sz w:val="32"/>
          <w:szCs w:val="36"/>
          <w:lang w:val="en-US" w:eastAsia="zh-CN"/>
        </w:rPr>
        <w:t>合营企业注册成立</w:t>
      </w:r>
      <w:r>
        <w:rPr>
          <w:rFonts w:hint="default" w:ascii="Times New Roman" w:hAnsi="Times New Roman" w:eastAsia="仿宋_GB2312" w:cs="Times New Roman"/>
          <w:bCs/>
          <w:sz w:val="32"/>
          <w:szCs w:val="36"/>
        </w:rPr>
        <w:t>，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</w:rPr>
        <w:t>在此之前未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/>
        </w:rPr>
        <w:t>依法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</w:rPr>
        <w:t>申报，违反《反垄断法》第二十一条，构成违法实施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的经营者集中。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</w:rPr>
        <w:t>（二）本案不具有排除、限制竞争的效果。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left="0" w:leftChars="0" w:firstLine="628" w:firstLineChars="200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本机关就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海信网科与腾讯设立合营企业数字青岛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对市场竞争的影响进行了评估，评估认为，该项经营者集中不会产生排除、限制竞争的效果。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三、行政处罚依据和决定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16" w:firstLineChars="196"/>
        <w:textAlignment w:val="auto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《反垄断法》第四十八条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规定“经营者违反本法规定实施集中的，由国务院反垄断执法机构责令停止实施集中、限期处分股份或者资产、限期转让营业以及采取其他必要措施恢复到集中前的状态，可以处五十万元以下的罚款”。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《反垄断法》第四十九条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规定“对本法第四十六条、第四十七条、第四十八条规定的罚款，反垄断执法机构确定具体罚款数额时，应当考虑违法行为的性质、程度和持续的时间等因素”。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上述规定，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基于调查情况和评估结论，本机关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决定</w:t>
      </w:r>
      <w:r>
        <w:rPr>
          <w:rFonts w:hint="eastAsia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分别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给予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海信网科、腾讯</w:t>
      </w:r>
      <w:r>
        <w:rPr>
          <w:rFonts w:hint="eastAsia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各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0万元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罚款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的行政处罚。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《行政处罚法》第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六十七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条规定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“作出罚款决定的行政机关应当与收缴罚款的机构分离。除依照本法第六十八条、第六十九条的规定当场收缴的罚款外，作出行政处罚决定的行政机关及其执法人员不得自行收缴罚款。当事人应当自收到行政处罚决定书之日起十五日内，到指定的银行或者通过电子支付系统缴纳罚款。银行应当收受罚款，并将罚款直接上缴国库”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当事人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应当自收到本行政处罚决定书之日起十五日内，携缴款码到1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家中央财政非税收入收缴代理银行（工、农、中、建、交、中信、光大、招商、邮储、华夏、平安、兴业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、民生、广发、浙商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）任一银行网点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网上银行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缴纳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罚款。缴款码：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（略）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u w:val="none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当事人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 xml:space="preserve">如对上述行政处罚决定不服，可以自收到本行政处罚决定书之日起六十日内，向国家市场监督管理总局申请行政复议；或者自收到本行政处罚决定书之日起六个月内，依法向人民法院提起行政诉讼。行政复议或者行政诉讼期间，本行政处罚决定不停止执行。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bidi w:val="0"/>
        <w:spacing w:after="0" w:line="594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94" w:lineRule="exact"/>
        <w:ind w:firstLine="5433" w:firstLineChars="173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市场监管总局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94" w:lineRule="exact"/>
        <w:ind w:firstLine="5225" w:firstLineChars="1664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月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28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（此件公开发布）</w:t>
      </w:r>
    </w:p>
    <w:sectPr>
      <w:footerReference r:id="rId3" w:type="default"/>
      <w:footerReference r:id="rId4" w:type="even"/>
      <w:pgSz w:w="11906" w:h="16838"/>
      <w:pgMar w:top="1440" w:right="1803" w:bottom="1440" w:left="1803" w:header="851" w:footer="1814" w:gutter="0"/>
      <w:cols w:space="0" w:num="1"/>
      <w:rtlGutter w:val="0"/>
      <w:docGrid w:type="linesAndChars" w:linePitch="290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15" w:leftChars="150" w:right="315" w:rightChars="150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570B1"/>
    <w:rsid w:val="0023200C"/>
    <w:rsid w:val="002C4C8A"/>
    <w:rsid w:val="03F1276A"/>
    <w:rsid w:val="04772CCF"/>
    <w:rsid w:val="05D15580"/>
    <w:rsid w:val="06DB7938"/>
    <w:rsid w:val="075F674C"/>
    <w:rsid w:val="09AC08F5"/>
    <w:rsid w:val="13F85EFD"/>
    <w:rsid w:val="16657401"/>
    <w:rsid w:val="169767E4"/>
    <w:rsid w:val="173B2FCB"/>
    <w:rsid w:val="188527D3"/>
    <w:rsid w:val="18DB1E51"/>
    <w:rsid w:val="192053EE"/>
    <w:rsid w:val="1A156921"/>
    <w:rsid w:val="1B095395"/>
    <w:rsid w:val="1C11264C"/>
    <w:rsid w:val="1D3570B1"/>
    <w:rsid w:val="1DFD740B"/>
    <w:rsid w:val="1ED67F29"/>
    <w:rsid w:val="1F573D93"/>
    <w:rsid w:val="1F7E74DE"/>
    <w:rsid w:val="21623065"/>
    <w:rsid w:val="21A54411"/>
    <w:rsid w:val="230C79BC"/>
    <w:rsid w:val="239A0124"/>
    <w:rsid w:val="265326DA"/>
    <w:rsid w:val="28C8606C"/>
    <w:rsid w:val="29171A1E"/>
    <w:rsid w:val="2A7A6DC6"/>
    <w:rsid w:val="2B0F6D0F"/>
    <w:rsid w:val="31E778A8"/>
    <w:rsid w:val="33684C36"/>
    <w:rsid w:val="33B94AAA"/>
    <w:rsid w:val="33E16394"/>
    <w:rsid w:val="38043EF0"/>
    <w:rsid w:val="39E75B24"/>
    <w:rsid w:val="3B3F9828"/>
    <w:rsid w:val="3D086E74"/>
    <w:rsid w:val="3FAD2E94"/>
    <w:rsid w:val="4297136E"/>
    <w:rsid w:val="43B84B68"/>
    <w:rsid w:val="44F1186A"/>
    <w:rsid w:val="48A63464"/>
    <w:rsid w:val="49513DE5"/>
    <w:rsid w:val="49F75885"/>
    <w:rsid w:val="4ABC40B8"/>
    <w:rsid w:val="4EF957B9"/>
    <w:rsid w:val="4EFD73AF"/>
    <w:rsid w:val="50EF3ECE"/>
    <w:rsid w:val="51075873"/>
    <w:rsid w:val="52A77C54"/>
    <w:rsid w:val="56EA563C"/>
    <w:rsid w:val="5A3853F1"/>
    <w:rsid w:val="5B1D24D8"/>
    <w:rsid w:val="5BDD2331"/>
    <w:rsid w:val="5C686AC3"/>
    <w:rsid w:val="5D4E6DD5"/>
    <w:rsid w:val="630535E1"/>
    <w:rsid w:val="63432760"/>
    <w:rsid w:val="640E6FE8"/>
    <w:rsid w:val="68197930"/>
    <w:rsid w:val="686D740E"/>
    <w:rsid w:val="6A564164"/>
    <w:rsid w:val="6F712D0C"/>
    <w:rsid w:val="7073388E"/>
    <w:rsid w:val="74782380"/>
    <w:rsid w:val="76F7E7DB"/>
    <w:rsid w:val="77C33B16"/>
    <w:rsid w:val="799C3559"/>
    <w:rsid w:val="7A782B89"/>
    <w:rsid w:val="7B020869"/>
    <w:rsid w:val="7CE345AA"/>
    <w:rsid w:val="7D641176"/>
    <w:rsid w:val="F5FF139D"/>
    <w:rsid w:val="FFD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exact"/>
      <w:ind w:firstLine="420" w:firstLineChars="200"/>
    </w:pPr>
    <w:rPr>
      <w:szCs w:val="20"/>
    </w:rPr>
  </w:style>
  <w:style w:type="paragraph" w:styleId="3">
    <w:name w:val="Body Text"/>
    <w:basedOn w:val="1"/>
    <w:unhideWhenUsed/>
    <w:qFormat/>
    <w:uiPriority w:val="0"/>
    <w:pPr>
      <w:spacing w:after="120"/>
    </w:pPr>
    <w:rPr>
      <w:rFonts w:ascii="Calibri" w:hAnsi="Calibri" w:eastAsia="宋体" w:cs="Times New Roman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内容"/>
    <w:basedOn w:val="1"/>
    <w:qFormat/>
    <w:uiPriority w:val="0"/>
    <w:pPr>
      <w:suppressAutoHyphens/>
      <w:overflowPunct w:val="0"/>
      <w:autoSpaceDE w:val="0"/>
      <w:autoSpaceDN w:val="0"/>
      <w:adjustRightInd w:val="0"/>
      <w:spacing w:line="360" w:lineRule="auto"/>
      <w:ind w:firstLine="200" w:firstLineChars="200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2020-12-10T18:26:00Z</dcterms:created>
  <dc:creator>徐霄飞</dc:creator>
  <cp:lastModifiedBy>张宝成</cp:lastModifiedBy>
  <cp:lastPrinted>2021-07-02T22:21:00Z</cp:lastPrinted>
  <dcterms:modified xsi:type="dcterms:W3CDTF">2021-12-31T09:04:08Z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