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color w:val="auto"/>
          <w:spacing w:val="30"/>
          <w:kern w:val="0"/>
          <w:sz w:val="52"/>
          <w:szCs w:val="52"/>
          <w:fitText w:val="5742" w:id="1608217352"/>
        </w:rPr>
        <w:t>国家市场监督管理总</w:t>
      </w:r>
      <w:r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52"/>
          <w:szCs w:val="52"/>
          <w:fitText w:val="5742" w:id="160821735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auto"/>
          <w:spacing w:val="175"/>
          <w:kern w:val="0"/>
          <w:sz w:val="52"/>
          <w:szCs w:val="52"/>
          <w:fitText w:val="5742" w:id="1"/>
        </w:rPr>
        <w:t>行政处罚决定</w:t>
      </w:r>
      <w:r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52"/>
          <w:szCs w:val="52"/>
          <w:fitText w:val="5742" w:id="1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国市监处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〕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122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当事人：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宁波誉衡健康投资有限公司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住  所：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浙江省宁波市北仑区梅山七星路88号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当事人：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江苏京东邦能投资管理有限公司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80" w:lineRule="exact"/>
        <w:ind w:firstLine="628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住  所：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江苏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省宿迁市宿豫区洪泽湖东路19号恒通大厦4层416室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80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反垄断法》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（以下简称《反垄断法》）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《经营者集中审查暂行规定》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，本机关于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月12日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对宁波誉衡健康投资有限公司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（以下简称宁波誉衡）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与江苏京东邦能投资管理有限公司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（以下简称京东邦能）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设立合营企业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涉嫌</w:t>
      </w:r>
      <w:r>
        <w:rPr>
          <w:rFonts w:hint="eastAsia" w:eastAsia="仿宋_GB2312" w:cs="Times New Roman"/>
          <w:color w:val="auto"/>
          <w:sz w:val="32"/>
          <w:lang w:val="en-US" w:eastAsia="zh-CN"/>
        </w:rPr>
        <w:t>未依法申报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违法实施经营者集中案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进行立案调查。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 w:val="0"/>
        <w:bidi w:val="0"/>
        <w:adjustRightInd w:val="0"/>
        <w:snapToGrid/>
        <w:spacing w:before="0" w:beforeAutospacing="0" w:afterAutospacing="0" w:line="580" w:lineRule="exact"/>
        <w:ind w:left="0" w:right="0" w:firstLine="628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经查，该案构成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违法实施经营者集中，但不具有排除、限制竞争的效果。本机关按照《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行政处罚法》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（以下简称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《行政处罚法》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的规定，向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宁波誉衡、京东邦能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送达了《行政处罚告知书》，告知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拟作出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行政处罚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内容及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事实、理由、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依据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并告知当事人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依法享有的陈述、申辩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要求听证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权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。宁波誉衡、京东邦能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"/>
        </w:rPr>
        <w:t>书面来函放弃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陈述、申辩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要求听证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"/>
        </w:rPr>
        <w:t>的权利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。本案现已调查、审理终结。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28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80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（一）交易方。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lang w:eastAsia="zh-CN"/>
        </w:rPr>
        <w:t>合营方一：宁波誉衡。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lang w:eastAsia="zh-CN"/>
        </w:rPr>
        <w:t>201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lang w:eastAsia="zh-CN"/>
        </w:rPr>
        <w:t>年于浙江省宁波市注册成立，最终控制人为哈尔滨誉衡药业股份有限公司（以下简称誉衡药业），主要从事心脑血管系统类疾病药物、骨骼肌肉系统类疾病药物</w:t>
      </w:r>
      <w:r>
        <w:rPr>
          <w:rFonts w:hint="eastAsia" w:eastAsia="仿宋_GB2312" w:cs="Times New Roman"/>
          <w:b w:val="0"/>
          <w:bCs w:val="0"/>
          <w:color w:val="auto"/>
          <w:sz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lang w:eastAsia="zh-CN"/>
        </w:rPr>
        <w:t>生产和销售，201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lang w:eastAsia="zh-CN"/>
        </w:rPr>
        <w:t>年全球和中国境内营业额</w:t>
      </w:r>
      <w:r>
        <w:rPr>
          <w:rFonts w:hint="eastAsia" w:eastAsia="仿宋_GB2312" w:cs="Times New Roman"/>
          <w:b w:val="0"/>
          <w:bCs w:val="0"/>
          <w:color w:val="auto"/>
          <w:sz w:val="32"/>
          <w:lang w:val="en-US" w:eastAsia="zh-CN"/>
        </w:rPr>
        <w:t>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lang w:eastAsia="zh-CN"/>
        </w:rPr>
        <w:t>为</w:t>
      </w:r>
      <w:r>
        <w:rPr>
          <w:rFonts w:hint="eastAsia" w:eastAsia="仿宋_GB2312" w:cs="Times New Roman"/>
          <w:b w:val="0"/>
          <w:bCs w:val="0"/>
          <w:color w:val="auto"/>
          <w:sz w:val="32"/>
          <w:lang w:eastAsia="zh-CN"/>
        </w:rPr>
        <w:t>（略）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80" w:lineRule="exact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合营方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：京东邦能。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2015年于江苏省宿迁市注册成立，最终控制人为京东集团股份有限公司，在零售、物流、健康等领域从事业务，2015年全球和中国境内营业额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为</w:t>
      </w:r>
      <w:r>
        <w:rPr>
          <w:rFonts w:hint="eastAsia" w:eastAsia="仿宋_GB2312" w:cs="Times New Roman"/>
          <w:b w:val="0"/>
          <w:bCs w:val="0"/>
          <w:color w:val="auto"/>
          <w:sz w:val="32"/>
          <w:lang w:eastAsia="zh-CN"/>
        </w:rPr>
        <w:t>（略）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80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（二）交易概况。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  <w:t>本交易系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  <w:t>设立合营企业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</w:rPr>
        <w:t>2016年4月8日，宁波誉衡与京东邦能签署协议，在浙江省宁波市设立合营企业宁波誉东健康科技有限公司，宁波誉衡与京东邦能分别持股70%和30%。2016年5月23日，合营企业取得营业执照</w:t>
      </w:r>
      <w:r>
        <w:rPr>
          <w:rFonts w:hint="default" w:ascii="Times New Roman" w:hAnsi="Times New Roman" w:eastAsia="仿宋_GB2312" w:cs="Times New Roman"/>
          <w:b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80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二、违法事实及理由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80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（一）本案构成</w:t>
      </w:r>
      <w:r>
        <w:rPr>
          <w:rFonts w:hint="eastAsia" w:eastAsia="楷体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违法实施的经营者集中。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ind w:firstLine="628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《反垄断法》第二十条规定“经营者集中是指下列情形：（一）经营者合并；（二）经营者通过取得股权或者资产的方式取得对其他经营者的控制权；（三）经营者通过合同等方式取得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对其他经营者的控制权或者能够对其他经营者施加决定性影响”。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lang w:eastAsia="zh-CN"/>
        </w:rPr>
        <w:t>宁波誉衡</w:t>
      </w: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与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lang w:eastAsia="zh-CN"/>
        </w:rPr>
        <w:t>京东邦能</w:t>
      </w: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设立合营企业，分别持股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%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lang w:val="en-US" w:eastAsia="zh-CN"/>
        </w:rPr>
        <w:t>30%</w:t>
      </w: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共同控制合营企业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  <w:lang w:eastAsia="zh-CN"/>
        </w:rPr>
        <w:t>属于《反垄断法》第二十条规定的经营者集中。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580" w:lineRule="exact"/>
        <w:ind w:left="0" w:firstLine="64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lang w:val="en-US" w:eastAsia="zh-CN"/>
        </w:rPr>
        <w:t>2015年度</w:t>
      </w:r>
      <w:r>
        <w:rPr>
          <w:rFonts w:hint="eastAsia" w:ascii="Times New Roman" w:hAnsi="Times New Roman" w:cs="Times New Roman"/>
          <w:bCs/>
          <w:color w:val="auto"/>
          <w:sz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lang w:val="en-US" w:eastAsia="zh-CN"/>
        </w:rPr>
        <w:t>宁波誉衡全球和中国境内营业额为</w:t>
      </w:r>
      <w:r>
        <w:rPr>
          <w:rFonts w:hint="eastAsia" w:eastAsia="仿宋_GB2312" w:cs="Times New Roman"/>
          <w:b w:val="0"/>
          <w:bCs w:val="0"/>
          <w:color w:val="auto"/>
          <w:sz w:val="32"/>
          <w:lang w:eastAsia="zh-CN"/>
        </w:rPr>
        <w:t>（略）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lang w:val="en-US" w:eastAsia="zh-CN"/>
        </w:rPr>
        <w:t>京东邦能</w:t>
      </w: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全球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lang w:eastAsia="zh-CN"/>
        </w:rPr>
        <w:t>和中国境内</w:t>
      </w: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营业额为</w:t>
      </w:r>
      <w:r>
        <w:rPr>
          <w:rFonts w:hint="eastAsia" w:eastAsia="仿宋_GB2312" w:cs="Times New Roman"/>
          <w:b w:val="0"/>
          <w:bCs w:val="0"/>
          <w:color w:val="auto"/>
          <w:sz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达到《国务院关于经营者集中申报标准的规定》第三条规定的申报标准，属于应当申报的情形。</w:t>
      </w:r>
    </w:p>
    <w:p>
      <w:pPr>
        <w:pStyle w:val="5"/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80" w:lineRule="exact"/>
        <w:ind w:firstLine="628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《反垄断法》第二十一条规定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营者集中达到国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务院规定的申报标准的，经营者应当事先向国务院反垄断执法机构申报，未申报的不得实施集中”。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2016年5月23日，合营企业取得营业执照，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在此之前未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依法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申报，违反《反垄断法》第二十一条，构成违法实施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80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（二）本案不具有排除、限制竞争的效果。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ind w:firstLine="628" w:firstLineChars="200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本机关就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宁波誉衡与京东邦能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设立合营企业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对市场竞争的影响进行了评估，评估认为，该项经营者集中不会产生排除、限制竞争的效果。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80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三、行政处罚依据和决定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ind w:firstLine="616" w:firstLineChars="196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《反垄断法》第四十八条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规定“经营者违反本法规定实施集中的，由国务院反垄断执法机构责令停止实施集中、限期处分股份或者资产、限期转让营业以及采取其他必要措施恢复到集中前的状态，可以处五十万元以下的罚款”。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《反垄断法》第四十九条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规定“对本法第四十六条、第四十七条、第四十八条规定的罚款，反垄断执法机构确定具体罚款数额时，应当考虑违法行为的性质、程度和持续的时间等因素”。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80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上述规定，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基于调查情况和评估结论，本机关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决定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分别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给予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宁波誉衡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京东邦能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0万元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罚款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的行政处罚。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80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《行政处罚法》第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六十七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条规定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“作出罚款决定的行政机关应当与收缴罚款的机构分离。除依照本法第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六十八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条、第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六十九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条的规定当场收缴的罚款外，作出行政处罚决定的行政机关及其执法人员不得自行收缴罚款。当事人应当自收到行政处罚决定书之日起十五日内，到指定的银行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或者通过电子支付系统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缴纳罚款。银行应当收受罚款，并将罚款直接上缴国库”。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80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应当自收到本行政处罚决定书之日起十五日内，携缴款码到1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家中央财政非税收入收缴代理银行（工、农、中、建、交、中信、光大、招商、邮储、华夏、平安、兴业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、民生、广发、浙商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）任一银行网点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网上银行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纳罚款。缴款码：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80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 xml:space="preserve">如对上述行政处罚决定不服，可以自收到本行政处罚决定书之日起六十日内，向国家市场监督管理总局申请行政复议；或者自收到本行政处罚决定书之日起六个月内，依法向人民法院提起行政诉讼。行政复议或者行政诉讼期间，本行政处罚决定不停止执行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pacing w:after="0" w:line="580" w:lineRule="exact"/>
        <w:textAlignment w:val="auto"/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80" w:lineRule="exact"/>
        <w:ind w:firstLine="5433" w:firstLineChars="173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市场监管总局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80" w:lineRule="exact"/>
        <w:ind w:firstLine="5225" w:firstLineChars="1664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ind w:firstLine="628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（此件公开发布）</w:t>
      </w:r>
    </w:p>
    <w:sectPr>
      <w:footerReference r:id="rId3" w:type="default"/>
      <w:footerReference r:id="rId4" w:type="even"/>
      <w:pgSz w:w="11906" w:h="16838"/>
      <w:pgMar w:top="1440" w:right="1803" w:bottom="1440" w:left="1803" w:header="851" w:footer="1814" w:gutter="0"/>
      <w:cols w:space="0" w:num="1"/>
      <w:rtlGutter w:val="0"/>
      <w:docGrid w:type="linesAndChars" w:linePitch="290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70B1"/>
    <w:rsid w:val="05D15580"/>
    <w:rsid w:val="075F674C"/>
    <w:rsid w:val="08A87185"/>
    <w:rsid w:val="09AC08F5"/>
    <w:rsid w:val="13F85EFD"/>
    <w:rsid w:val="16657401"/>
    <w:rsid w:val="169767E4"/>
    <w:rsid w:val="173B2FCB"/>
    <w:rsid w:val="18DB1E51"/>
    <w:rsid w:val="192053EE"/>
    <w:rsid w:val="1A156921"/>
    <w:rsid w:val="1B095395"/>
    <w:rsid w:val="1B6219C3"/>
    <w:rsid w:val="1C11264C"/>
    <w:rsid w:val="1D3570B1"/>
    <w:rsid w:val="1ED67F29"/>
    <w:rsid w:val="1F573D93"/>
    <w:rsid w:val="21623065"/>
    <w:rsid w:val="21A54411"/>
    <w:rsid w:val="239A0124"/>
    <w:rsid w:val="265326DA"/>
    <w:rsid w:val="28C8606C"/>
    <w:rsid w:val="29171A1E"/>
    <w:rsid w:val="2A7A6DC6"/>
    <w:rsid w:val="2B0F6D0F"/>
    <w:rsid w:val="2EA56827"/>
    <w:rsid w:val="315D5D56"/>
    <w:rsid w:val="31E778A8"/>
    <w:rsid w:val="33B94AAA"/>
    <w:rsid w:val="33E16394"/>
    <w:rsid w:val="38043EF0"/>
    <w:rsid w:val="39E75B24"/>
    <w:rsid w:val="3D086E74"/>
    <w:rsid w:val="3FAD2E94"/>
    <w:rsid w:val="4297136E"/>
    <w:rsid w:val="44F1186A"/>
    <w:rsid w:val="48797BF4"/>
    <w:rsid w:val="48A63464"/>
    <w:rsid w:val="49513DE5"/>
    <w:rsid w:val="49F75885"/>
    <w:rsid w:val="4ABC40B8"/>
    <w:rsid w:val="4EF957B9"/>
    <w:rsid w:val="4EFD73AF"/>
    <w:rsid w:val="51075873"/>
    <w:rsid w:val="52A77C54"/>
    <w:rsid w:val="56D81614"/>
    <w:rsid w:val="5A3853F1"/>
    <w:rsid w:val="5BDD2331"/>
    <w:rsid w:val="5C686AC3"/>
    <w:rsid w:val="5D4E6DD5"/>
    <w:rsid w:val="630535E1"/>
    <w:rsid w:val="63432760"/>
    <w:rsid w:val="640E6FE8"/>
    <w:rsid w:val="65EE0793"/>
    <w:rsid w:val="68197930"/>
    <w:rsid w:val="686D740E"/>
    <w:rsid w:val="6A564164"/>
    <w:rsid w:val="6F712D0C"/>
    <w:rsid w:val="7073388E"/>
    <w:rsid w:val="71945C39"/>
    <w:rsid w:val="73813C8C"/>
    <w:rsid w:val="75D0DD58"/>
    <w:rsid w:val="799C3559"/>
    <w:rsid w:val="7A782B89"/>
    <w:rsid w:val="7D641176"/>
    <w:rsid w:val="7FFE0ED6"/>
    <w:rsid w:val="BDFEE748"/>
    <w:rsid w:val="D77A9A2A"/>
    <w:rsid w:val="DFFB2ED8"/>
    <w:rsid w:val="FA3D9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3">
    <w:name w:val="Normal Indent"/>
    <w:basedOn w:val="1"/>
    <w:qFormat/>
    <w:uiPriority w:val="0"/>
    <w:pPr>
      <w:spacing w:line="360" w:lineRule="exact"/>
      <w:ind w:firstLine="420" w:firstLineChars="20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内容"/>
    <w:basedOn w:val="1"/>
    <w:qFormat/>
    <w:uiPriority w:val="0"/>
    <w:pPr>
      <w:suppressAutoHyphens/>
      <w:overflowPunct w:val="0"/>
      <w:autoSpaceDE w:val="0"/>
      <w:autoSpaceDN w:val="0"/>
      <w:adjustRightInd w:val="0"/>
      <w:spacing w:line="360" w:lineRule="auto"/>
      <w:ind w:firstLine="20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2020-12-11T02:26:00Z</dcterms:created>
  <dc:creator>徐霄飞</dc:creator>
  <cp:lastModifiedBy>张宝成</cp:lastModifiedBy>
  <cp:lastPrinted>2021-12-29T02:16:00Z</cp:lastPrinted>
  <dcterms:modified xsi:type="dcterms:W3CDTF">2021-12-31T08:47:19Z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