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sz w:val="22"/>
          <w:szCs w:val="22"/>
        </w:rPr>
      </w:pPr>
      <w:r>
        <w:rPr>
          <w:b/>
          <w:sz w:val="22"/>
          <w:szCs w:val="22"/>
        </w:rPr>
        <w:t>经营者集中简易案件公示表</w:t>
      </w:r>
    </w:p>
    <w:tbl>
      <w:tblPr>
        <w:tblStyle w:val="14"/>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59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0" w:type="dxa"/>
            <w:shd w:val="clear" w:color="auto" w:fill="D9D9D9"/>
            <w:vAlign w:val="center"/>
          </w:tcPr>
          <w:p>
            <w:pPr>
              <w:pStyle w:val="5"/>
              <w:jc w:val="left"/>
              <w:rPr>
                <w:rFonts w:cs="Times New Roman"/>
                <w:sz w:val="22"/>
                <w:szCs w:val="22"/>
                <w:lang w:val="en-US"/>
              </w:rPr>
            </w:pPr>
            <w:r>
              <w:rPr>
                <w:rFonts w:cs="Times New Roman"/>
                <w:sz w:val="22"/>
                <w:szCs w:val="22"/>
                <w:lang w:val="en-GB"/>
              </w:rPr>
              <w:t>案件名称</w:t>
            </w:r>
          </w:p>
        </w:tc>
        <w:tc>
          <w:tcPr>
            <w:tcW w:w="7694" w:type="dxa"/>
            <w:gridSpan w:val="2"/>
            <w:shd w:val="clear" w:color="auto" w:fill="auto"/>
          </w:tcPr>
          <w:p>
            <w:pPr>
              <w:autoSpaceDE w:val="0"/>
              <w:autoSpaceDN w:val="0"/>
              <w:adjustRightInd w:val="0"/>
              <w:rPr>
                <w:rFonts w:asciiTheme="majorBidi" w:hAnsiTheme="majorBidi" w:cstheme="majorBidi"/>
                <w:sz w:val="22"/>
                <w:szCs w:val="22"/>
              </w:rPr>
            </w:pPr>
            <w:r>
              <w:rPr>
                <w:rFonts w:hint="eastAsia"/>
                <w:bCs/>
                <w:sz w:val="22"/>
                <w:szCs w:val="22"/>
              </w:rPr>
              <w:t>璞米咨询集团控股有限公司与安宏国际资本公司等经营者收购迈克菲公司股权案</w:t>
            </w:r>
            <w:r>
              <w:rPr>
                <w:rFonts w:hint="eastAsia" w:eastAsiaTheme="majorEastAsia"/>
                <w:bCs/>
                <w:sz w:val="22"/>
                <w:szCs w:val="22"/>
              </w:rPr>
              <w:t>（“</w:t>
            </w:r>
            <w:r>
              <w:rPr>
                <w:rFonts w:hint="eastAsia" w:eastAsiaTheme="majorEastAsia"/>
                <w:b/>
                <w:bCs/>
                <w:sz w:val="22"/>
                <w:szCs w:val="22"/>
              </w:rPr>
              <w:t>本交易</w:t>
            </w:r>
            <w:r>
              <w:rPr>
                <w:rFonts w:hint="eastAsia" w:eastAsiaTheme="majorEastAsia"/>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1940" w:type="dxa"/>
            <w:shd w:val="clear" w:color="auto" w:fill="D9D9D9"/>
          </w:tcPr>
          <w:p>
            <w:pPr>
              <w:pStyle w:val="5"/>
              <w:rPr>
                <w:rFonts w:cs="Times New Roman"/>
                <w:sz w:val="22"/>
                <w:szCs w:val="22"/>
                <w:lang w:val="en-US" w:eastAsia="zh-CN"/>
              </w:rPr>
            </w:pPr>
            <w:r>
              <w:rPr>
                <w:rFonts w:cs="Times New Roman"/>
                <w:sz w:val="22"/>
                <w:szCs w:val="22"/>
                <w:lang w:val="en-GB" w:eastAsia="zh-CN"/>
              </w:rPr>
              <w:t>交易概况（限200字内）</w:t>
            </w:r>
          </w:p>
        </w:tc>
        <w:tc>
          <w:tcPr>
            <w:tcW w:w="7694" w:type="dxa"/>
            <w:gridSpan w:val="2"/>
            <w:shd w:val="clear" w:color="auto" w:fill="auto"/>
          </w:tcPr>
          <w:p>
            <w:pPr>
              <w:autoSpaceDE w:val="0"/>
              <w:autoSpaceDN w:val="0"/>
              <w:adjustRightInd w:val="0"/>
              <w:rPr>
                <w:sz w:val="22"/>
                <w:szCs w:val="22"/>
              </w:rPr>
            </w:pPr>
            <w:r>
              <w:rPr>
                <w:rFonts w:hint="eastAsia"/>
                <w:sz w:val="22"/>
                <w:szCs w:val="22"/>
              </w:rPr>
              <w:t>迈克菲公司（“</w:t>
            </w:r>
            <w:r>
              <w:rPr>
                <w:rFonts w:hint="eastAsia"/>
                <w:b/>
                <w:bCs/>
                <w:sz w:val="22"/>
                <w:szCs w:val="22"/>
              </w:rPr>
              <w:t>目标公司</w:t>
            </w:r>
            <w:r>
              <w:rPr>
                <w:rFonts w:hint="eastAsia"/>
                <w:sz w:val="22"/>
                <w:szCs w:val="22"/>
              </w:rPr>
              <w:t>”）目前在纳斯达克上市，股权分散。就本交易而言，在《中华人民共和国反垄断法》意义下，璞米控股有限公司（“</w:t>
            </w:r>
            <w:r>
              <w:rPr>
                <w:rFonts w:hint="eastAsia"/>
                <w:b/>
                <w:bCs/>
                <w:sz w:val="22"/>
                <w:szCs w:val="22"/>
              </w:rPr>
              <w:t>璞米</w:t>
            </w:r>
            <w:r>
              <w:rPr>
                <w:rFonts w:hint="eastAsia"/>
                <w:sz w:val="22"/>
                <w:szCs w:val="22"/>
              </w:rPr>
              <w:t>”）、安宏国际资本公司（“</w:t>
            </w:r>
            <w:r>
              <w:rPr>
                <w:rFonts w:hint="eastAsia"/>
                <w:b/>
                <w:bCs/>
                <w:sz w:val="22"/>
                <w:szCs w:val="22"/>
              </w:rPr>
              <w:t>安宏资本</w:t>
            </w:r>
            <w:r>
              <w:rPr>
                <w:rFonts w:hint="eastAsia"/>
                <w:sz w:val="22"/>
                <w:szCs w:val="22"/>
              </w:rPr>
              <w:t>”）、加拿大养老金计划投资委员会（“</w:t>
            </w:r>
            <w:r>
              <w:rPr>
                <w:rFonts w:hint="eastAsia"/>
                <w:b/>
                <w:bCs/>
                <w:sz w:val="22"/>
                <w:szCs w:val="22"/>
              </w:rPr>
              <w:t>CPPIB</w:t>
            </w:r>
            <w:r>
              <w:rPr>
                <w:rFonts w:hint="eastAsia"/>
                <w:sz w:val="22"/>
                <w:szCs w:val="22"/>
              </w:rPr>
              <w:t>”）和</w:t>
            </w:r>
            <w:r>
              <w:rPr>
                <w:sz w:val="22"/>
                <w:szCs w:val="22"/>
              </w:rPr>
              <w:t>Crosspoint Capital Partners, LP</w:t>
            </w:r>
            <w:r>
              <w:rPr>
                <w:rFonts w:hint="eastAsia"/>
                <w:sz w:val="22"/>
                <w:szCs w:val="22"/>
              </w:rPr>
              <w:t>（“</w:t>
            </w:r>
            <w:r>
              <w:rPr>
                <w:rFonts w:hint="eastAsia"/>
                <w:b/>
                <w:bCs/>
                <w:sz w:val="22"/>
                <w:szCs w:val="22"/>
              </w:rPr>
              <w:t>交叉点资本</w:t>
            </w:r>
            <w:r>
              <w:rPr>
                <w:rFonts w:hint="eastAsia"/>
                <w:sz w:val="22"/>
                <w:szCs w:val="22"/>
              </w:rPr>
              <w:t>”）将在本交易后最终间接控制目标公司。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1940" w:type="dxa"/>
            <w:vMerge w:val="restart"/>
            <w:shd w:val="clear" w:color="auto" w:fill="D9D9D9"/>
          </w:tcPr>
          <w:p>
            <w:pPr>
              <w:pStyle w:val="5"/>
              <w:rPr>
                <w:rFonts w:cs="Times New Roman"/>
                <w:sz w:val="22"/>
                <w:szCs w:val="22"/>
                <w:lang w:val="en-US" w:eastAsia="zh-CN"/>
              </w:rPr>
            </w:pPr>
            <w:r>
              <w:rPr>
                <w:rFonts w:cs="Times New Roman"/>
                <w:sz w:val="22"/>
                <w:szCs w:val="22"/>
                <w:lang w:val="en-GB" w:eastAsia="zh-CN"/>
              </w:rPr>
              <w:t>参与集中的经营者简介</w:t>
            </w:r>
          </w:p>
        </w:tc>
        <w:tc>
          <w:tcPr>
            <w:tcW w:w="2591" w:type="dxa"/>
            <w:shd w:val="clear" w:color="auto" w:fill="auto"/>
          </w:tcPr>
          <w:p>
            <w:pPr>
              <w:autoSpaceDE w:val="0"/>
              <w:autoSpaceDN w:val="0"/>
              <w:adjustRightInd w:val="0"/>
              <w:rPr>
                <w:rFonts w:asciiTheme="majorBidi" w:hAnsiTheme="majorBidi" w:cstheme="majorBidi"/>
                <w:sz w:val="22"/>
                <w:szCs w:val="22"/>
              </w:rPr>
            </w:pPr>
            <w:r>
              <w:rPr>
                <w:rFonts w:hint="eastAsia" w:asciiTheme="majorBidi" w:hAnsiTheme="majorBidi" w:cstheme="majorBidi"/>
                <w:sz w:val="22"/>
                <w:szCs w:val="22"/>
              </w:rPr>
              <w:t>1、</w:t>
            </w:r>
            <w:r>
              <w:rPr>
                <w:rFonts w:hint="eastAsia"/>
                <w:bCs/>
                <w:sz w:val="22"/>
                <w:szCs w:val="22"/>
              </w:rPr>
              <w:t>璞米咨询集团控股有限公司</w:t>
            </w:r>
            <w:r>
              <w:rPr>
                <w:rFonts w:hint="eastAsia"/>
                <w:sz w:val="22"/>
                <w:szCs w:val="22"/>
              </w:rPr>
              <w:t>（“</w:t>
            </w:r>
            <w:r>
              <w:rPr>
                <w:rFonts w:hint="eastAsia"/>
                <w:b/>
                <w:bCs/>
                <w:sz w:val="22"/>
                <w:szCs w:val="22"/>
              </w:rPr>
              <w:t>PAGHL</w:t>
            </w:r>
            <w:r>
              <w:rPr>
                <w:rFonts w:hint="eastAsia"/>
                <w:sz w:val="22"/>
                <w:szCs w:val="22"/>
              </w:rPr>
              <w:t>”）</w:t>
            </w:r>
          </w:p>
        </w:tc>
        <w:tc>
          <w:tcPr>
            <w:tcW w:w="5103" w:type="dxa"/>
            <w:shd w:val="clear" w:color="auto" w:fill="auto"/>
          </w:tcPr>
          <w:p>
            <w:pPr>
              <w:autoSpaceDE w:val="0"/>
              <w:autoSpaceDN w:val="0"/>
              <w:adjustRightInd w:val="0"/>
              <w:rPr>
                <w:rFonts w:asciiTheme="majorBidi" w:hAnsiTheme="majorBidi" w:cstheme="majorBidi"/>
                <w:bCs/>
                <w:sz w:val="22"/>
                <w:szCs w:val="22"/>
              </w:rPr>
            </w:pPr>
            <w:r>
              <w:rPr>
                <w:rFonts w:hint="eastAsia" w:asciiTheme="majorBidi" w:hAnsiTheme="majorBidi" w:cstheme="majorBidi"/>
                <w:bCs/>
                <w:sz w:val="22"/>
                <w:szCs w:val="22"/>
              </w:rPr>
              <w:t>PAGHL由</w:t>
            </w:r>
            <w:r>
              <w:rPr>
                <w:rFonts w:hint="eastAsia"/>
                <w:sz w:val="22"/>
                <w:szCs w:val="22"/>
              </w:rPr>
              <w:t>璞米最终</w:t>
            </w:r>
            <w:r>
              <w:rPr>
                <w:rFonts w:hint="eastAsia" w:asciiTheme="majorBidi" w:hAnsiTheme="majorBidi" w:cstheme="majorBidi"/>
                <w:bCs/>
                <w:sz w:val="22"/>
                <w:szCs w:val="22"/>
              </w:rPr>
              <w:t>控制。璞米是一家私募股权公司，向多家投资基金提供投资管理服务；璞米控制多家投资组合公司，该等投资组合公司在众多司法辖区与行业开展业务。</w:t>
            </w:r>
          </w:p>
          <w:p>
            <w:pPr>
              <w:autoSpaceDE w:val="0"/>
              <w:autoSpaceDN w:val="0"/>
              <w:adjustRightInd w:val="0"/>
              <w:rPr>
                <w:rFonts w:asciiTheme="majorBidi" w:hAnsiTheme="majorBidi" w:cstheme="majorBidi"/>
                <w:bCs/>
                <w:sz w:val="22"/>
                <w:szCs w:val="22"/>
              </w:rPr>
            </w:pPr>
            <w:r>
              <w:rPr>
                <w:rFonts w:hint="eastAsia" w:asciiTheme="majorBidi" w:hAnsiTheme="majorBidi" w:cstheme="majorBidi"/>
                <w:bCs/>
                <w:sz w:val="22"/>
                <w:szCs w:val="22"/>
              </w:rPr>
              <w:t>有关璞米的进一步信息请见www.permira.com。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1940" w:type="dxa"/>
            <w:vMerge w:val="continue"/>
            <w:shd w:val="clear" w:color="auto" w:fill="D9D9D9"/>
          </w:tcPr>
          <w:p>
            <w:pPr>
              <w:pStyle w:val="5"/>
              <w:rPr>
                <w:rFonts w:cs="Times New Roman"/>
                <w:sz w:val="22"/>
                <w:szCs w:val="22"/>
                <w:lang w:val="en-GB" w:eastAsia="zh-CN"/>
              </w:rPr>
            </w:pPr>
          </w:p>
        </w:tc>
        <w:tc>
          <w:tcPr>
            <w:tcW w:w="2591" w:type="dxa"/>
            <w:shd w:val="clear" w:color="auto" w:fill="auto"/>
          </w:tcPr>
          <w:p>
            <w:pPr>
              <w:autoSpaceDE w:val="0"/>
              <w:autoSpaceDN w:val="0"/>
              <w:adjustRightInd w:val="0"/>
              <w:rPr>
                <w:rFonts w:asciiTheme="majorBidi" w:hAnsiTheme="majorBidi" w:cstheme="majorBidi"/>
                <w:sz w:val="22"/>
                <w:szCs w:val="22"/>
              </w:rPr>
            </w:pPr>
            <w:r>
              <w:rPr>
                <w:rFonts w:hint="eastAsia" w:asciiTheme="majorBidi" w:hAnsiTheme="majorBidi" w:cstheme="majorBidi"/>
                <w:sz w:val="22"/>
                <w:szCs w:val="22"/>
              </w:rPr>
              <w:t>2、安宏资本</w:t>
            </w:r>
          </w:p>
        </w:tc>
        <w:tc>
          <w:tcPr>
            <w:tcW w:w="5103" w:type="dxa"/>
            <w:shd w:val="clear" w:color="auto" w:fill="auto"/>
          </w:tcPr>
          <w:p>
            <w:pPr>
              <w:snapToGrid w:val="0"/>
              <w:jc w:val="left"/>
              <w:rPr>
                <w:sz w:val="22"/>
                <w:szCs w:val="22"/>
              </w:rPr>
            </w:pPr>
            <w:r>
              <w:rPr>
                <w:rFonts w:hint="eastAsia"/>
                <w:sz w:val="22"/>
                <w:szCs w:val="22"/>
              </w:rPr>
              <w:t>安宏资本是一家总部位于美国马萨诸塞州波士顿市的私募股权投资集团。安宏资本专注于全球各个行业的股权收购和投资基金管理，包括商业和金融服务、工业产品和服务、零售业务、品牌消费品和休闲服务、媒体、电信和信息技术以及医疗服务和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1940" w:type="dxa"/>
            <w:vMerge w:val="continue"/>
            <w:shd w:val="clear" w:color="auto" w:fill="D9D9D9"/>
          </w:tcPr>
          <w:p>
            <w:pPr>
              <w:pStyle w:val="5"/>
              <w:rPr>
                <w:rFonts w:cs="Times New Roman"/>
                <w:sz w:val="22"/>
                <w:szCs w:val="22"/>
                <w:lang w:val="en-GB" w:eastAsia="zh-CN"/>
              </w:rPr>
            </w:pPr>
          </w:p>
        </w:tc>
        <w:tc>
          <w:tcPr>
            <w:tcW w:w="2591" w:type="dxa"/>
            <w:shd w:val="clear" w:color="auto" w:fill="auto"/>
          </w:tcPr>
          <w:p>
            <w:pPr>
              <w:autoSpaceDE w:val="0"/>
              <w:autoSpaceDN w:val="0"/>
              <w:adjustRightInd w:val="0"/>
              <w:rPr>
                <w:rFonts w:asciiTheme="majorBidi" w:hAnsiTheme="majorBidi" w:cstheme="majorBidi"/>
                <w:sz w:val="22"/>
                <w:szCs w:val="22"/>
              </w:rPr>
            </w:pPr>
            <w:r>
              <w:rPr>
                <w:rFonts w:hint="eastAsia" w:asciiTheme="majorBidi" w:hAnsiTheme="majorBidi" w:cstheme="majorBidi"/>
                <w:sz w:val="22"/>
                <w:szCs w:val="22"/>
              </w:rPr>
              <w:t>3、CPPIB</w:t>
            </w:r>
          </w:p>
        </w:tc>
        <w:tc>
          <w:tcPr>
            <w:tcW w:w="5103" w:type="dxa"/>
            <w:shd w:val="clear" w:color="auto" w:fill="auto"/>
          </w:tcPr>
          <w:p>
            <w:pPr>
              <w:autoSpaceDE w:val="0"/>
              <w:autoSpaceDN w:val="0"/>
              <w:adjustRightInd w:val="0"/>
              <w:rPr>
                <w:sz w:val="22"/>
                <w:szCs w:val="22"/>
              </w:rPr>
            </w:pPr>
            <w:r>
              <w:rPr>
                <w:rFonts w:hint="eastAsia"/>
                <w:sz w:val="22"/>
                <w:szCs w:val="22"/>
              </w:rPr>
              <w:t>CPPIB是一家专业投资管理机构，代表2000万出资人和受益人的最佳利益，对加拿大养老金计划基金无需用于支付当前福利的资产进行投资。CPPIB总部位于多伦多，并在香港、伦敦、卢森堡、孟买、纽约、悉尼、旧金山和圣保罗设有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1940" w:type="dxa"/>
            <w:vMerge w:val="continue"/>
            <w:shd w:val="clear" w:color="auto" w:fill="D9D9D9"/>
          </w:tcPr>
          <w:p>
            <w:pPr>
              <w:pStyle w:val="5"/>
              <w:rPr>
                <w:rFonts w:cs="Times New Roman"/>
                <w:sz w:val="22"/>
                <w:szCs w:val="22"/>
                <w:lang w:val="en-US" w:eastAsia="zh-CN"/>
              </w:rPr>
            </w:pPr>
          </w:p>
        </w:tc>
        <w:tc>
          <w:tcPr>
            <w:tcW w:w="2591" w:type="dxa"/>
            <w:shd w:val="clear" w:color="auto" w:fill="auto"/>
          </w:tcPr>
          <w:p>
            <w:pPr>
              <w:autoSpaceDE w:val="0"/>
              <w:autoSpaceDN w:val="0"/>
              <w:adjustRightInd w:val="0"/>
              <w:rPr>
                <w:rFonts w:asciiTheme="majorBidi" w:hAnsiTheme="majorBidi" w:cstheme="majorBidi"/>
                <w:sz w:val="22"/>
                <w:szCs w:val="22"/>
              </w:rPr>
            </w:pPr>
            <w:r>
              <w:rPr>
                <w:rFonts w:hint="eastAsia" w:asciiTheme="majorBidi" w:hAnsiTheme="majorBidi" w:cstheme="majorBidi"/>
                <w:sz w:val="22"/>
                <w:szCs w:val="22"/>
              </w:rPr>
              <w:t>4、交叉点资本</w:t>
            </w:r>
          </w:p>
        </w:tc>
        <w:tc>
          <w:tcPr>
            <w:tcW w:w="5103" w:type="dxa"/>
            <w:shd w:val="clear" w:color="auto" w:fill="auto"/>
          </w:tcPr>
          <w:p>
            <w:pPr>
              <w:autoSpaceDE w:val="0"/>
              <w:autoSpaceDN w:val="0"/>
              <w:adjustRightInd w:val="0"/>
              <w:rPr>
                <w:sz w:val="22"/>
                <w:szCs w:val="22"/>
              </w:rPr>
            </w:pPr>
            <w:r>
              <w:rPr>
                <w:rFonts w:hint="eastAsia"/>
                <w:sz w:val="22"/>
                <w:szCs w:val="22"/>
              </w:rPr>
              <w:t>交叉点资本是一家私募股权投资公司，在美国加利福尼亚州门罗帕克市和美国</w:t>
            </w:r>
            <w:r>
              <w:rPr>
                <w:sz w:val="22"/>
                <w:szCs w:val="22"/>
              </w:rPr>
              <w:t>麻萨诸塞</w:t>
            </w:r>
            <w:r>
              <w:rPr>
                <w:rFonts w:hint="eastAsia"/>
                <w:sz w:val="22"/>
                <w:szCs w:val="22"/>
              </w:rPr>
              <w:t>州波士顿市设有办事处。交叉点资本专注于网络安全、隐私和基础设施软件行业的投资机会。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940" w:type="dxa"/>
            <w:vMerge w:val="continue"/>
            <w:shd w:val="clear" w:color="auto" w:fill="D9D9D9"/>
          </w:tcPr>
          <w:p>
            <w:pPr>
              <w:pStyle w:val="5"/>
              <w:rPr>
                <w:rFonts w:cs="Times New Roman"/>
                <w:sz w:val="22"/>
                <w:szCs w:val="22"/>
                <w:lang w:val="en-US" w:eastAsia="zh-CN"/>
              </w:rPr>
            </w:pPr>
          </w:p>
        </w:tc>
        <w:tc>
          <w:tcPr>
            <w:tcW w:w="2591" w:type="dxa"/>
            <w:shd w:val="clear" w:color="auto" w:fill="auto"/>
          </w:tcPr>
          <w:p>
            <w:pPr>
              <w:autoSpaceDE w:val="0"/>
              <w:autoSpaceDN w:val="0"/>
              <w:adjustRightInd w:val="0"/>
              <w:rPr>
                <w:sz w:val="22"/>
                <w:szCs w:val="22"/>
              </w:rPr>
            </w:pPr>
            <w:r>
              <w:rPr>
                <w:rFonts w:hint="eastAsia"/>
                <w:sz w:val="22"/>
                <w:szCs w:val="22"/>
              </w:rPr>
              <w:t>5、目标公司（与PAGHL、Advent、CPPIB和Crosspoint合称为“</w:t>
            </w:r>
            <w:r>
              <w:rPr>
                <w:rFonts w:hint="eastAsia"/>
                <w:b/>
                <w:bCs/>
                <w:sz w:val="22"/>
                <w:szCs w:val="22"/>
              </w:rPr>
              <w:t>交易各方</w:t>
            </w:r>
            <w:r>
              <w:rPr>
                <w:rFonts w:hint="eastAsia"/>
                <w:sz w:val="22"/>
                <w:szCs w:val="22"/>
              </w:rPr>
              <w:t>”）。</w:t>
            </w:r>
          </w:p>
        </w:tc>
        <w:tc>
          <w:tcPr>
            <w:tcW w:w="5103" w:type="dxa"/>
            <w:shd w:val="clear" w:color="auto" w:fill="auto"/>
          </w:tcPr>
          <w:p>
            <w:pPr>
              <w:autoSpaceDE w:val="0"/>
              <w:autoSpaceDN w:val="0"/>
              <w:adjustRightInd w:val="0"/>
              <w:rPr>
                <w:sz w:val="22"/>
                <w:szCs w:val="22"/>
              </w:rPr>
            </w:pPr>
            <w:r>
              <w:rPr>
                <w:rFonts w:hint="eastAsia"/>
                <w:sz w:val="22"/>
                <w:szCs w:val="22"/>
              </w:rPr>
              <w:t>目标公司是一家向消费者个人提供先进安全解决方案的安全技术公司。目标公司从事安全产品的设计和研发及相关服务，主要保证连入网络的设备不受恶意内容的侵害。目标公司主要在美国开展业务。</w:t>
            </w:r>
          </w:p>
          <w:p>
            <w:pPr>
              <w:autoSpaceDE w:val="0"/>
              <w:autoSpaceDN w:val="0"/>
              <w:adjustRightInd w:val="0"/>
              <w:rPr>
                <w:sz w:val="22"/>
                <w:szCs w:val="22"/>
              </w:rPr>
            </w:pPr>
            <w:r>
              <w:rPr>
                <w:rFonts w:hint="eastAsia" w:asciiTheme="majorBidi" w:hAnsiTheme="majorBidi" w:cstheme="majorBidi"/>
                <w:bCs/>
                <w:sz w:val="22"/>
                <w:szCs w:val="22"/>
              </w:rPr>
              <w:t>有关目标公司的进一步信息请见</w:t>
            </w:r>
            <w:r>
              <w:rPr>
                <w:rFonts w:asciiTheme="majorBidi" w:hAnsiTheme="majorBidi" w:cstheme="majorBidi"/>
                <w:bCs/>
                <w:sz w:val="22"/>
                <w:szCs w:val="22"/>
                <w:lang w:val="en-US"/>
              </w:rPr>
              <w:t>https://www.mcafee.com/en-gb/index.html</w:t>
            </w:r>
            <w:r>
              <w:rPr>
                <w:rFonts w:hint="eastAsia" w:asciiTheme="majorBidi" w:hAnsiTheme="majorBidi" w:cstheme="majorBidi"/>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940" w:type="dxa"/>
            <w:vMerge w:val="restart"/>
            <w:shd w:val="clear" w:color="auto" w:fill="D9D9D9"/>
          </w:tcPr>
          <w:p>
            <w:pPr>
              <w:pStyle w:val="5"/>
              <w:rPr>
                <w:rFonts w:cs="Times New Roman"/>
                <w:sz w:val="22"/>
                <w:szCs w:val="22"/>
                <w:lang w:val="en-US" w:eastAsia="zh-CN"/>
              </w:rPr>
            </w:pPr>
            <w:r>
              <w:rPr>
                <w:rFonts w:cs="Times New Roman"/>
                <w:sz w:val="22"/>
                <w:szCs w:val="22"/>
                <w:lang w:val="en-GB" w:eastAsia="zh-CN"/>
              </w:rPr>
              <w:t>简易案件理由（可以单选，也可以多选）</w:t>
            </w:r>
          </w:p>
        </w:tc>
        <w:tc>
          <w:tcPr>
            <w:tcW w:w="7694" w:type="dxa"/>
            <w:gridSpan w:val="2"/>
            <w:shd w:val="clear" w:color="auto" w:fill="auto"/>
          </w:tcPr>
          <w:p>
            <w:pPr>
              <w:pStyle w:val="5"/>
              <w:spacing w:after="0"/>
              <w:rPr>
                <w:rFonts w:cs="Times New Roman"/>
                <w:sz w:val="22"/>
                <w:szCs w:val="22"/>
                <w:lang w:val="en-US" w:eastAsia="zh-CN"/>
              </w:rPr>
            </w:pPr>
            <w:r>
              <w:rPr>
                <w:rFonts w:ascii="Wingdings" w:hAnsi="Wingdings"/>
                <w:sz w:val="22"/>
                <w:szCs w:val="22"/>
                <w:lang w:eastAsia="zh-CN"/>
              </w:rPr>
              <w:sym w:font="Wingdings" w:char="F06F"/>
            </w:r>
            <w:r>
              <w:rPr>
                <w:rFonts w:cs="Times New Roman"/>
                <w:sz w:val="22"/>
                <w:szCs w:val="22"/>
                <w:lang w:val="en-GB" w:eastAsia="zh-CN"/>
              </w:rPr>
              <w:t xml:space="preserve"> 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940" w:type="dxa"/>
            <w:vMerge w:val="continue"/>
            <w:shd w:val="clear" w:color="auto" w:fill="D9D9D9"/>
          </w:tcPr>
          <w:p>
            <w:pPr>
              <w:pStyle w:val="5"/>
              <w:rPr>
                <w:rFonts w:cs="Times New Roman"/>
                <w:sz w:val="22"/>
                <w:szCs w:val="22"/>
                <w:lang w:val="en-US" w:eastAsia="zh-CN"/>
              </w:rPr>
            </w:pPr>
          </w:p>
        </w:tc>
        <w:tc>
          <w:tcPr>
            <w:tcW w:w="7694" w:type="dxa"/>
            <w:gridSpan w:val="2"/>
            <w:shd w:val="clear" w:color="auto" w:fill="auto"/>
          </w:tcPr>
          <w:p>
            <w:pPr>
              <w:pStyle w:val="5"/>
              <w:spacing w:after="0"/>
              <w:rPr>
                <w:rFonts w:cs="Times New Roman"/>
                <w:sz w:val="22"/>
                <w:szCs w:val="22"/>
                <w:lang w:val="en-US" w:eastAsia="zh-CN"/>
              </w:rPr>
            </w:pPr>
            <w:r>
              <w:rPr>
                <w:rFonts w:ascii="Wingdings" w:hAnsi="Wingdings"/>
                <w:sz w:val="22"/>
                <w:szCs w:val="22"/>
                <w:lang w:eastAsia="zh-CN"/>
              </w:rPr>
              <w:sym w:font="Wingdings" w:char="F06F"/>
            </w:r>
            <w:r>
              <w:rPr>
                <w:rFonts w:hint="eastAsia" w:cs="Times New Roman"/>
                <w:sz w:val="22"/>
                <w:szCs w:val="22"/>
                <w:lang w:val="en-GB" w:eastAsia="zh-CN"/>
              </w:rPr>
              <w:t xml:space="preserve"> </w:t>
            </w:r>
            <w:r>
              <w:rPr>
                <w:rFonts w:cs="Times New Roman"/>
                <w:sz w:val="22"/>
                <w:szCs w:val="22"/>
                <w:lang w:val="en-GB" w:eastAsia="zh-CN"/>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40" w:type="dxa"/>
            <w:vMerge w:val="continue"/>
            <w:shd w:val="clear" w:color="auto" w:fill="D9D9D9"/>
          </w:tcPr>
          <w:p>
            <w:pPr>
              <w:pStyle w:val="5"/>
              <w:rPr>
                <w:rFonts w:cs="Times New Roman"/>
                <w:sz w:val="22"/>
                <w:szCs w:val="22"/>
                <w:lang w:val="en-US" w:eastAsia="zh-CN"/>
              </w:rPr>
            </w:pPr>
          </w:p>
        </w:tc>
        <w:tc>
          <w:tcPr>
            <w:tcW w:w="7694" w:type="dxa"/>
            <w:gridSpan w:val="2"/>
            <w:shd w:val="clear" w:color="auto" w:fill="auto"/>
          </w:tcPr>
          <w:p>
            <w:pPr>
              <w:pStyle w:val="5"/>
              <w:spacing w:after="0"/>
              <w:rPr>
                <w:rFonts w:cs="Times New Roman"/>
                <w:sz w:val="22"/>
                <w:szCs w:val="22"/>
                <w:lang w:val="en-US" w:eastAsia="zh-CN"/>
              </w:rPr>
            </w:pPr>
            <w:r>
              <w:rPr>
                <w:rFonts w:ascii="Wingdings" w:hAnsi="Wingdings"/>
                <w:sz w:val="22"/>
                <w:szCs w:val="22"/>
                <w:lang w:eastAsia="zh-CN"/>
              </w:rPr>
              <w:t></w:t>
            </w:r>
            <w:r>
              <w:rPr>
                <w:rFonts w:cs="Times New Roman"/>
                <w:sz w:val="22"/>
                <w:szCs w:val="22"/>
                <w:lang w:val="en-GB" w:eastAsia="zh-CN"/>
              </w:rPr>
              <w:t xml:space="preserve"> 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940" w:type="dxa"/>
            <w:vMerge w:val="continue"/>
            <w:shd w:val="clear" w:color="auto" w:fill="D9D9D9"/>
          </w:tcPr>
          <w:p>
            <w:pPr>
              <w:pStyle w:val="5"/>
              <w:rPr>
                <w:rFonts w:cs="Times New Roman"/>
                <w:sz w:val="22"/>
                <w:szCs w:val="22"/>
                <w:lang w:val="en-US" w:eastAsia="zh-CN"/>
              </w:rPr>
            </w:pPr>
          </w:p>
        </w:tc>
        <w:tc>
          <w:tcPr>
            <w:tcW w:w="7694" w:type="dxa"/>
            <w:gridSpan w:val="2"/>
            <w:shd w:val="clear" w:color="auto" w:fill="auto"/>
          </w:tcPr>
          <w:p>
            <w:pPr>
              <w:pStyle w:val="5"/>
              <w:spacing w:after="0"/>
              <w:rPr>
                <w:rFonts w:cs="Times New Roman"/>
                <w:sz w:val="22"/>
                <w:szCs w:val="22"/>
                <w:lang w:val="en-US" w:eastAsia="zh-CN"/>
              </w:rPr>
            </w:pPr>
            <w:r>
              <w:rPr>
                <w:rFonts w:ascii="Wingdings" w:hAnsi="Wingdings"/>
                <w:sz w:val="22"/>
                <w:szCs w:val="22"/>
                <w:lang w:eastAsia="zh-CN"/>
              </w:rPr>
              <w:sym w:font="Wingdings" w:char="F06F"/>
            </w:r>
            <w:r>
              <w:rPr>
                <w:rFonts w:cs="Times New Roman"/>
                <w:sz w:val="22"/>
                <w:szCs w:val="22"/>
                <w:lang w:val="en-GB" w:eastAsia="zh-CN"/>
              </w:rPr>
              <w:t xml:space="preserve"> 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940" w:type="dxa"/>
            <w:vMerge w:val="continue"/>
            <w:shd w:val="clear" w:color="auto" w:fill="D9D9D9"/>
          </w:tcPr>
          <w:p>
            <w:pPr>
              <w:pStyle w:val="5"/>
              <w:rPr>
                <w:rFonts w:cs="Times New Roman"/>
                <w:sz w:val="22"/>
                <w:szCs w:val="22"/>
                <w:lang w:val="en-US" w:eastAsia="zh-CN"/>
              </w:rPr>
            </w:pPr>
          </w:p>
        </w:tc>
        <w:tc>
          <w:tcPr>
            <w:tcW w:w="7694" w:type="dxa"/>
            <w:gridSpan w:val="2"/>
            <w:shd w:val="clear" w:color="auto" w:fill="auto"/>
          </w:tcPr>
          <w:p>
            <w:pPr>
              <w:pStyle w:val="5"/>
              <w:spacing w:after="0"/>
              <w:rPr>
                <w:rFonts w:cs="Times New Roman"/>
                <w:sz w:val="22"/>
                <w:szCs w:val="22"/>
                <w:lang w:val="en-US" w:eastAsia="zh-CN"/>
              </w:rPr>
            </w:pPr>
            <w:r>
              <w:rPr>
                <w:rFonts w:ascii="Wingdings" w:hAnsi="Wingdings"/>
                <w:sz w:val="22"/>
                <w:szCs w:val="22"/>
                <w:lang w:eastAsia="zh-CN"/>
              </w:rPr>
              <w:sym w:font="Wingdings" w:char="F06F"/>
            </w:r>
            <w:r>
              <w:rPr>
                <w:rFonts w:cs="Times New Roman"/>
                <w:sz w:val="22"/>
                <w:szCs w:val="22"/>
                <w:lang w:val="en-GB" w:eastAsia="zh-CN"/>
              </w:rPr>
              <w:t xml:space="preserve"> 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940" w:type="dxa"/>
            <w:vMerge w:val="continue"/>
            <w:shd w:val="clear" w:color="auto" w:fill="D9D9D9"/>
          </w:tcPr>
          <w:p>
            <w:pPr>
              <w:pStyle w:val="5"/>
              <w:rPr>
                <w:rFonts w:cs="Times New Roman"/>
                <w:sz w:val="22"/>
                <w:szCs w:val="22"/>
                <w:lang w:val="en-US" w:eastAsia="zh-CN"/>
              </w:rPr>
            </w:pPr>
          </w:p>
        </w:tc>
        <w:tc>
          <w:tcPr>
            <w:tcW w:w="7694" w:type="dxa"/>
            <w:gridSpan w:val="2"/>
            <w:shd w:val="clear" w:color="auto" w:fill="auto"/>
          </w:tcPr>
          <w:p>
            <w:pPr>
              <w:pStyle w:val="5"/>
              <w:spacing w:after="0"/>
              <w:rPr>
                <w:rFonts w:cs="Times New Roman"/>
                <w:sz w:val="22"/>
                <w:szCs w:val="22"/>
                <w:lang w:val="en-US" w:eastAsia="zh-CN"/>
              </w:rPr>
            </w:pPr>
            <w:r>
              <w:rPr>
                <w:rFonts w:ascii="Wingdings" w:hAnsi="Wingdings"/>
                <w:sz w:val="22"/>
                <w:szCs w:val="22"/>
                <w:lang w:eastAsia="zh-CN"/>
              </w:rPr>
              <w:sym w:font="Wingdings" w:char="F06F"/>
            </w:r>
            <w:r>
              <w:rPr>
                <w:rFonts w:cs="Times New Roman"/>
                <w:sz w:val="22"/>
                <w:szCs w:val="22"/>
                <w:lang w:val="en-GB" w:eastAsia="zh-CN"/>
              </w:rPr>
              <w:t xml:space="preserve"> 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0" w:type="dxa"/>
            <w:shd w:val="clear" w:color="auto" w:fill="D9D9D9"/>
          </w:tcPr>
          <w:p>
            <w:pPr>
              <w:pStyle w:val="5"/>
              <w:rPr>
                <w:rFonts w:cs="Times New Roman"/>
                <w:sz w:val="22"/>
                <w:szCs w:val="22"/>
                <w:lang w:val="en-US"/>
              </w:rPr>
            </w:pPr>
            <w:r>
              <w:rPr>
                <w:rFonts w:cs="Times New Roman"/>
                <w:sz w:val="22"/>
                <w:szCs w:val="22"/>
                <w:lang w:val="en-GB"/>
              </w:rPr>
              <w:t>备注</w:t>
            </w:r>
          </w:p>
        </w:tc>
        <w:tc>
          <w:tcPr>
            <w:tcW w:w="7694" w:type="dxa"/>
            <w:gridSpan w:val="2"/>
            <w:shd w:val="clear" w:color="auto" w:fill="auto"/>
          </w:tcPr>
          <w:p>
            <w:pPr>
              <w:rPr>
                <w:sz w:val="22"/>
                <w:szCs w:val="22"/>
              </w:rPr>
            </w:pPr>
            <w:r>
              <w:rPr>
                <w:rFonts w:hint="eastAsia"/>
                <w:b/>
                <w:bCs/>
                <w:sz w:val="22"/>
                <w:szCs w:val="22"/>
              </w:rPr>
              <w:t>相关产品市场：</w:t>
            </w:r>
            <w:r>
              <w:rPr>
                <w:rFonts w:hint="eastAsia"/>
                <w:sz w:val="22"/>
                <w:szCs w:val="22"/>
              </w:rPr>
              <w:t>个人</w:t>
            </w:r>
            <w:r>
              <w:rPr>
                <w:rFonts w:hint="eastAsia"/>
                <w:sz w:val="22"/>
                <w:szCs w:val="22"/>
                <w:lang w:eastAsia="zh-CN"/>
              </w:rPr>
              <w:t>用户</w:t>
            </w:r>
            <w:r>
              <w:rPr>
                <w:rFonts w:hint="eastAsia"/>
                <w:sz w:val="22"/>
                <w:szCs w:val="22"/>
              </w:rPr>
              <w:t>安全软件</w:t>
            </w:r>
          </w:p>
          <w:p>
            <w:pPr>
              <w:rPr>
                <w:sz w:val="22"/>
                <w:szCs w:val="22"/>
              </w:rPr>
            </w:pPr>
            <w:r>
              <w:rPr>
                <w:rFonts w:hint="eastAsia"/>
                <w:b/>
                <w:bCs/>
                <w:sz w:val="22"/>
                <w:szCs w:val="22"/>
              </w:rPr>
              <w:t>相关地域市场：</w:t>
            </w:r>
            <w:r>
              <w:rPr>
                <w:rFonts w:hint="eastAsia"/>
                <w:sz w:val="22"/>
                <w:szCs w:val="22"/>
              </w:rPr>
              <w:t>中国境内</w:t>
            </w:r>
          </w:p>
          <w:p>
            <w:pPr>
              <w:rPr>
                <w:sz w:val="22"/>
                <w:szCs w:val="22"/>
              </w:rPr>
            </w:pPr>
            <w:r>
              <w:rPr>
                <w:rFonts w:hint="eastAsia"/>
                <w:b/>
                <w:bCs/>
                <w:sz w:val="22"/>
                <w:szCs w:val="22"/>
              </w:rPr>
              <w:t>市场份额：</w:t>
            </w:r>
            <w:r>
              <w:rPr>
                <w:rFonts w:hint="eastAsia"/>
                <w:sz w:val="22"/>
                <w:szCs w:val="22"/>
              </w:rPr>
              <w:t>在中国个人</w:t>
            </w:r>
            <w:r>
              <w:rPr>
                <w:rFonts w:hint="eastAsia"/>
                <w:sz w:val="22"/>
                <w:szCs w:val="22"/>
                <w:lang w:eastAsia="zh-CN"/>
              </w:rPr>
              <w:t>用户</w:t>
            </w:r>
            <w:bookmarkStart w:id="0" w:name="_GoBack"/>
            <w:bookmarkEnd w:id="0"/>
            <w:r>
              <w:rPr>
                <w:rFonts w:hint="eastAsia"/>
                <w:sz w:val="22"/>
                <w:szCs w:val="22"/>
              </w:rPr>
              <w:t>安全软件市场，目标公司的市场份额为</w:t>
            </w:r>
            <w:r>
              <w:rPr>
                <w:sz w:val="22"/>
                <w:szCs w:val="22"/>
              </w:rPr>
              <w:t>[0-5%]</w:t>
            </w:r>
            <w:r>
              <w:rPr>
                <w:rFonts w:hint="eastAsia"/>
                <w:sz w:val="22"/>
                <w:szCs w:val="22"/>
              </w:rPr>
              <w:t>，其他交易各方的市场份额均为</w:t>
            </w:r>
            <w:r>
              <w:rPr>
                <w:sz w:val="22"/>
                <w:szCs w:val="22"/>
              </w:rPr>
              <w:t>0</w:t>
            </w:r>
            <w:r>
              <w:rPr>
                <w:rFonts w:hint="eastAsia"/>
                <w:sz w:val="22"/>
                <w:szCs w:val="22"/>
              </w:rPr>
              <w:t>。</w:t>
            </w:r>
          </w:p>
        </w:tc>
      </w:tr>
    </w:tbl>
    <w:p>
      <w:pPr>
        <w:pStyle w:val="5"/>
        <w:rPr>
          <w:sz w:val="22"/>
          <w:szCs w:val="22"/>
          <w:lang w:val="en-GB" w:eastAsia="zh-CN"/>
        </w:rPr>
      </w:pPr>
    </w:p>
    <w:p>
      <w:pPr>
        <w:rPr>
          <w:sz w:val="22"/>
          <w:szCs w:val="22"/>
          <w:lang w:val="zh-CN"/>
        </w:rPr>
      </w:pP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plified Arabic">
    <w:panose1 w:val="02020603050405020304"/>
    <w:charset w:val="B2"/>
    <w:family w:val="roman"/>
    <w:pitch w:val="default"/>
    <w:sig w:usb0="00002003" w:usb1="00000000" w:usb2="00000000" w:usb3="00000000" w:csb0="00000041" w:csb1="2008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8130815"/>
      <w:docPartObj>
        <w:docPartGallery w:val="AutoText"/>
      </w:docPartObj>
    </w:sdtPr>
    <w:sdtEndPr>
      <w:rPr>
        <w:sz w:val="22"/>
      </w:rPr>
    </w:sdtEndPr>
    <w:sdtContent>
      <w:p>
        <w:pPr>
          <w:pStyle w:val="7"/>
          <w:jc w:val="center"/>
          <w:rPr>
            <w:sz w:val="22"/>
          </w:rP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498"/>
    <w:multiLevelType w:val="multilevel"/>
    <w:tmpl w:val="07FA3498"/>
    <w:lvl w:ilvl="0" w:tentative="0">
      <w:start w:val="1"/>
      <w:numFmt w:val="decimal"/>
      <w:pStyle w:val="31"/>
      <w:isLgl/>
      <w:lvlText w:val="%1."/>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tentative="0">
      <w:start w:val="1"/>
      <w:numFmt w:val="lowerLetter"/>
      <w:pStyle w:val="30"/>
      <w:lvlText w:val="(%2)"/>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tentative="0">
      <w:start w:val="1"/>
      <w:numFmt w:val="bullet"/>
      <w:pStyle w:val="29"/>
      <w:lvlText w:val=""/>
      <w:lvlJc w:val="left"/>
      <w:pPr>
        <w:tabs>
          <w:tab w:val="left" w:pos="1440"/>
        </w:tabs>
        <w:ind w:left="1440" w:hanging="720"/>
      </w:pPr>
      <w:rPr>
        <w:rFonts w:hint="default" w:ascii="Symbol" w:hAnsi="Symbol"/>
        <w:b w:val="0"/>
        <w:i w:val="0"/>
        <w:caps w:val="0"/>
        <w:strike w:val="0"/>
        <w:dstrike w:val="0"/>
        <w:vanish w:val="0"/>
        <w:color w:val="auto"/>
        <w:sz w:val="24"/>
        <w:u w:val="none"/>
        <w:vertAlign w:val="baseline"/>
      </w:rPr>
    </w:lvl>
    <w:lvl w:ilvl="3" w:tentative="0">
      <w:start w:val="1"/>
      <w:numFmt w:val="upperLetter"/>
      <w:pStyle w:val="28"/>
      <w:lvlText w:val="(%4)"/>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tentative="0">
      <w:start w:val="1"/>
      <w:numFmt w:val="decimal"/>
      <w:pStyle w:val="27"/>
      <w:lvlText w:val="(%5)"/>
      <w:lvlJc w:val="left"/>
      <w:pPr>
        <w:tabs>
          <w:tab w:val="left"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tentative="0">
      <w:start w:val="1"/>
      <w:numFmt w:val="none"/>
      <w:lvlRestart w:val="0"/>
      <w:pStyle w:val="2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tentative="0">
      <w:start w:val="1"/>
      <w:numFmt w:val="none"/>
      <w:lvlRestart w:val="0"/>
      <w:pStyle w:val="25"/>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tentative="0">
      <w:start w:val="1"/>
      <w:numFmt w:val="none"/>
      <w:lvlRestart w:val="0"/>
      <w:pStyle w:val="24"/>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tentative="0">
      <w:start w:val="1"/>
      <w:numFmt w:val="none"/>
      <w:lvlRestart w:val="0"/>
      <w:pStyle w:val="23"/>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hideGrammaticalErrors/>
  <w:doNotTrackMoves/>
  <w:doNotTrackFormatting/>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Y0MTCwNDcyN7cwMTNS0lEKTi0uzszPAykwrAUAMRoSxCwAAAA="/>
  </w:docVars>
  <w:rsids>
    <w:rsidRoot w:val="00D92E0B"/>
    <w:rsid w:val="000012CB"/>
    <w:rsid w:val="00001A6D"/>
    <w:rsid w:val="000141FF"/>
    <w:rsid w:val="00046F5D"/>
    <w:rsid w:val="0005110A"/>
    <w:rsid w:val="00057BF6"/>
    <w:rsid w:val="00075F30"/>
    <w:rsid w:val="00081927"/>
    <w:rsid w:val="00084A15"/>
    <w:rsid w:val="0008652E"/>
    <w:rsid w:val="00095222"/>
    <w:rsid w:val="000C203B"/>
    <w:rsid w:val="000D0808"/>
    <w:rsid w:val="000D70E8"/>
    <w:rsid w:val="000E0366"/>
    <w:rsid w:val="00137C72"/>
    <w:rsid w:val="001620F1"/>
    <w:rsid w:val="0017566D"/>
    <w:rsid w:val="00182101"/>
    <w:rsid w:val="001937A5"/>
    <w:rsid w:val="001954F1"/>
    <w:rsid w:val="001A7303"/>
    <w:rsid w:val="001B71DD"/>
    <w:rsid w:val="001C13BC"/>
    <w:rsid w:val="001E20B7"/>
    <w:rsid w:val="001E2564"/>
    <w:rsid w:val="001E7029"/>
    <w:rsid w:val="001E7764"/>
    <w:rsid w:val="001F5218"/>
    <w:rsid w:val="001F708B"/>
    <w:rsid w:val="0022234D"/>
    <w:rsid w:val="00234793"/>
    <w:rsid w:val="0024351F"/>
    <w:rsid w:val="002525EC"/>
    <w:rsid w:val="0026250E"/>
    <w:rsid w:val="002627B9"/>
    <w:rsid w:val="00271CCA"/>
    <w:rsid w:val="00271CF2"/>
    <w:rsid w:val="00273F7F"/>
    <w:rsid w:val="002752CF"/>
    <w:rsid w:val="002B7660"/>
    <w:rsid w:val="002C0B6F"/>
    <w:rsid w:val="002C1ACB"/>
    <w:rsid w:val="002C7767"/>
    <w:rsid w:val="002E6DB4"/>
    <w:rsid w:val="002E74C9"/>
    <w:rsid w:val="002F157D"/>
    <w:rsid w:val="002F41EE"/>
    <w:rsid w:val="003074D8"/>
    <w:rsid w:val="00333793"/>
    <w:rsid w:val="0034678D"/>
    <w:rsid w:val="00346D4D"/>
    <w:rsid w:val="003474E9"/>
    <w:rsid w:val="00352AEF"/>
    <w:rsid w:val="003A28B1"/>
    <w:rsid w:val="003A7C04"/>
    <w:rsid w:val="003B7064"/>
    <w:rsid w:val="003D0E60"/>
    <w:rsid w:val="003E72A1"/>
    <w:rsid w:val="003F459A"/>
    <w:rsid w:val="00404488"/>
    <w:rsid w:val="0041446C"/>
    <w:rsid w:val="0046189E"/>
    <w:rsid w:val="00461A28"/>
    <w:rsid w:val="0046626F"/>
    <w:rsid w:val="00472B34"/>
    <w:rsid w:val="00474E21"/>
    <w:rsid w:val="0047593C"/>
    <w:rsid w:val="004871BD"/>
    <w:rsid w:val="00493C33"/>
    <w:rsid w:val="004A0885"/>
    <w:rsid w:val="004B1960"/>
    <w:rsid w:val="004B57EA"/>
    <w:rsid w:val="004B6582"/>
    <w:rsid w:val="004C3570"/>
    <w:rsid w:val="004C4C0E"/>
    <w:rsid w:val="004D1096"/>
    <w:rsid w:val="004D1812"/>
    <w:rsid w:val="004E4FC5"/>
    <w:rsid w:val="004E5A46"/>
    <w:rsid w:val="004F0041"/>
    <w:rsid w:val="004F26EC"/>
    <w:rsid w:val="00527C6F"/>
    <w:rsid w:val="00555FD7"/>
    <w:rsid w:val="005614D2"/>
    <w:rsid w:val="005651FA"/>
    <w:rsid w:val="005677C1"/>
    <w:rsid w:val="00573D0E"/>
    <w:rsid w:val="005A2EC2"/>
    <w:rsid w:val="005A5ACC"/>
    <w:rsid w:val="005A60D0"/>
    <w:rsid w:val="005E7409"/>
    <w:rsid w:val="006005D6"/>
    <w:rsid w:val="0064168F"/>
    <w:rsid w:val="006450E1"/>
    <w:rsid w:val="00647486"/>
    <w:rsid w:val="00657D08"/>
    <w:rsid w:val="0067045D"/>
    <w:rsid w:val="00676DEA"/>
    <w:rsid w:val="006937A9"/>
    <w:rsid w:val="00697B81"/>
    <w:rsid w:val="006A0115"/>
    <w:rsid w:val="006A3424"/>
    <w:rsid w:val="006A4A23"/>
    <w:rsid w:val="006B69C0"/>
    <w:rsid w:val="006C728B"/>
    <w:rsid w:val="006D5A9E"/>
    <w:rsid w:val="006E141B"/>
    <w:rsid w:val="006E4A73"/>
    <w:rsid w:val="006E4FB5"/>
    <w:rsid w:val="006F31E7"/>
    <w:rsid w:val="00705E85"/>
    <w:rsid w:val="007155CF"/>
    <w:rsid w:val="0072071E"/>
    <w:rsid w:val="00721041"/>
    <w:rsid w:val="007379AB"/>
    <w:rsid w:val="007412F5"/>
    <w:rsid w:val="007472FC"/>
    <w:rsid w:val="00750FED"/>
    <w:rsid w:val="007535D1"/>
    <w:rsid w:val="007542FD"/>
    <w:rsid w:val="007639BB"/>
    <w:rsid w:val="00764DB0"/>
    <w:rsid w:val="00772AA6"/>
    <w:rsid w:val="00776248"/>
    <w:rsid w:val="00776523"/>
    <w:rsid w:val="007865FA"/>
    <w:rsid w:val="0079009C"/>
    <w:rsid w:val="007A22A9"/>
    <w:rsid w:val="007A2F3C"/>
    <w:rsid w:val="007A47AA"/>
    <w:rsid w:val="007D5B3B"/>
    <w:rsid w:val="007E25B2"/>
    <w:rsid w:val="007F75E8"/>
    <w:rsid w:val="00802033"/>
    <w:rsid w:val="008436B7"/>
    <w:rsid w:val="00852A85"/>
    <w:rsid w:val="008562CE"/>
    <w:rsid w:val="0085697E"/>
    <w:rsid w:val="008576D5"/>
    <w:rsid w:val="00862F7B"/>
    <w:rsid w:val="00864626"/>
    <w:rsid w:val="008656E0"/>
    <w:rsid w:val="008666F5"/>
    <w:rsid w:val="00874B87"/>
    <w:rsid w:val="00877449"/>
    <w:rsid w:val="00882B39"/>
    <w:rsid w:val="008907DB"/>
    <w:rsid w:val="00895587"/>
    <w:rsid w:val="008A3B57"/>
    <w:rsid w:val="008B1E12"/>
    <w:rsid w:val="008C64F1"/>
    <w:rsid w:val="008D403E"/>
    <w:rsid w:val="008E5128"/>
    <w:rsid w:val="009004F6"/>
    <w:rsid w:val="00921743"/>
    <w:rsid w:val="009239C2"/>
    <w:rsid w:val="00932B1D"/>
    <w:rsid w:val="00944E3F"/>
    <w:rsid w:val="009508FE"/>
    <w:rsid w:val="009515DB"/>
    <w:rsid w:val="00955B7B"/>
    <w:rsid w:val="00956805"/>
    <w:rsid w:val="00966276"/>
    <w:rsid w:val="00973C1E"/>
    <w:rsid w:val="00976BEB"/>
    <w:rsid w:val="009836B0"/>
    <w:rsid w:val="0099230E"/>
    <w:rsid w:val="009A029F"/>
    <w:rsid w:val="009D60C7"/>
    <w:rsid w:val="009F0D06"/>
    <w:rsid w:val="009F3731"/>
    <w:rsid w:val="00A05A12"/>
    <w:rsid w:val="00A17E52"/>
    <w:rsid w:val="00A412B5"/>
    <w:rsid w:val="00A44CD2"/>
    <w:rsid w:val="00A615A1"/>
    <w:rsid w:val="00A766C7"/>
    <w:rsid w:val="00AA0CD1"/>
    <w:rsid w:val="00AA5D49"/>
    <w:rsid w:val="00AB2557"/>
    <w:rsid w:val="00AB7F70"/>
    <w:rsid w:val="00AD4B5A"/>
    <w:rsid w:val="00AE680B"/>
    <w:rsid w:val="00AF0AC0"/>
    <w:rsid w:val="00AF564A"/>
    <w:rsid w:val="00B00E34"/>
    <w:rsid w:val="00B032BD"/>
    <w:rsid w:val="00B15B57"/>
    <w:rsid w:val="00B34B1F"/>
    <w:rsid w:val="00B4163D"/>
    <w:rsid w:val="00B47681"/>
    <w:rsid w:val="00B509AC"/>
    <w:rsid w:val="00B6143A"/>
    <w:rsid w:val="00B62890"/>
    <w:rsid w:val="00B64FD8"/>
    <w:rsid w:val="00B80E6D"/>
    <w:rsid w:val="00B87656"/>
    <w:rsid w:val="00B963C0"/>
    <w:rsid w:val="00BA2307"/>
    <w:rsid w:val="00BA3DC6"/>
    <w:rsid w:val="00BB18BB"/>
    <w:rsid w:val="00BC063A"/>
    <w:rsid w:val="00BE5B27"/>
    <w:rsid w:val="00BE5EE8"/>
    <w:rsid w:val="00BF4B74"/>
    <w:rsid w:val="00BF6B18"/>
    <w:rsid w:val="00C00AB9"/>
    <w:rsid w:val="00C158DF"/>
    <w:rsid w:val="00C32DE8"/>
    <w:rsid w:val="00C35A89"/>
    <w:rsid w:val="00C54FC3"/>
    <w:rsid w:val="00C5774D"/>
    <w:rsid w:val="00C617AB"/>
    <w:rsid w:val="00C67842"/>
    <w:rsid w:val="00C82C1F"/>
    <w:rsid w:val="00C855C4"/>
    <w:rsid w:val="00C92D48"/>
    <w:rsid w:val="00C93186"/>
    <w:rsid w:val="00C93F3E"/>
    <w:rsid w:val="00CB2E28"/>
    <w:rsid w:val="00CC3353"/>
    <w:rsid w:val="00CC616C"/>
    <w:rsid w:val="00CD48F8"/>
    <w:rsid w:val="00CD590A"/>
    <w:rsid w:val="00CD5FD3"/>
    <w:rsid w:val="00CD73F7"/>
    <w:rsid w:val="00CE6BCE"/>
    <w:rsid w:val="00CF6436"/>
    <w:rsid w:val="00D07820"/>
    <w:rsid w:val="00D164AC"/>
    <w:rsid w:val="00D211F6"/>
    <w:rsid w:val="00D22241"/>
    <w:rsid w:val="00D302E5"/>
    <w:rsid w:val="00D32BEC"/>
    <w:rsid w:val="00D33EAD"/>
    <w:rsid w:val="00D3453D"/>
    <w:rsid w:val="00D353F6"/>
    <w:rsid w:val="00D41E19"/>
    <w:rsid w:val="00D458E2"/>
    <w:rsid w:val="00D52BFE"/>
    <w:rsid w:val="00D757B2"/>
    <w:rsid w:val="00D91095"/>
    <w:rsid w:val="00D91622"/>
    <w:rsid w:val="00D92E0B"/>
    <w:rsid w:val="00DA3B4C"/>
    <w:rsid w:val="00DC05CD"/>
    <w:rsid w:val="00DC07B2"/>
    <w:rsid w:val="00DC173F"/>
    <w:rsid w:val="00DC1875"/>
    <w:rsid w:val="00DD2C9D"/>
    <w:rsid w:val="00DE21ED"/>
    <w:rsid w:val="00DF7C03"/>
    <w:rsid w:val="00E076AE"/>
    <w:rsid w:val="00E26887"/>
    <w:rsid w:val="00E44950"/>
    <w:rsid w:val="00E649EB"/>
    <w:rsid w:val="00E8452D"/>
    <w:rsid w:val="00E8643D"/>
    <w:rsid w:val="00E94BCF"/>
    <w:rsid w:val="00E94D11"/>
    <w:rsid w:val="00EC5DE6"/>
    <w:rsid w:val="00ED7F5C"/>
    <w:rsid w:val="00EF2CBF"/>
    <w:rsid w:val="00F05D41"/>
    <w:rsid w:val="00F21089"/>
    <w:rsid w:val="00F217B4"/>
    <w:rsid w:val="00F3518C"/>
    <w:rsid w:val="00F35CB0"/>
    <w:rsid w:val="00F4045F"/>
    <w:rsid w:val="00F44CC0"/>
    <w:rsid w:val="00F524EE"/>
    <w:rsid w:val="00F54892"/>
    <w:rsid w:val="00F56909"/>
    <w:rsid w:val="00F608F6"/>
    <w:rsid w:val="00F85C20"/>
    <w:rsid w:val="00F877CB"/>
    <w:rsid w:val="00F93BC0"/>
    <w:rsid w:val="00F97EEE"/>
    <w:rsid w:val="00FA178F"/>
    <w:rsid w:val="00FA185B"/>
    <w:rsid w:val="00FC7EB3"/>
    <w:rsid w:val="00FD21DC"/>
    <w:rsid w:val="00FF5970"/>
    <w:rsid w:val="00FF7FAF"/>
    <w:rsid w:val="064C4D6C"/>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line="240" w:lineRule="auto"/>
      <w:jc w:val="both"/>
    </w:pPr>
    <w:rPr>
      <w:rFonts w:ascii="Times New Roman" w:hAnsi="Times New Roman" w:eastAsia="宋体" w:cs="Times New Roman"/>
      <w:sz w:val="24"/>
      <w:szCs w:val="24"/>
      <w:lang w:val="en-GB" w:eastAsia="zh-CN" w:bidi="ar-AE"/>
    </w:rPr>
  </w:style>
  <w:style w:type="character" w:default="1" w:styleId="10">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35"/>
    <w:semiHidden/>
    <w:unhideWhenUsed/>
    <w:uiPriority w:val="99"/>
    <w:rPr>
      <w:b/>
      <w:bCs/>
    </w:rPr>
  </w:style>
  <w:style w:type="paragraph" w:styleId="3">
    <w:name w:val="annotation text"/>
    <w:basedOn w:val="1"/>
    <w:link w:val="34"/>
    <w:semiHidden/>
    <w:unhideWhenUsed/>
    <w:uiPriority w:val="99"/>
    <w:rPr>
      <w:sz w:val="20"/>
      <w:szCs w:val="20"/>
    </w:rPr>
  </w:style>
  <w:style w:type="paragraph" w:styleId="4">
    <w:name w:val="Body Text 3"/>
    <w:basedOn w:val="1"/>
    <w:link w:val="32"/>
    <w:semiHidden/>
    <w:unhideWhenUsed/>
    <w:uiPriority w:val="99"/>
    <w:pPr>
      <w:spacing w:after="120"/>
    </w:pPr>
    <w:rPr>
      <w:sz w:val="16"/>
      <w:szCs w:val="16"/>
    </w:rPr>
  </w:style>
  <w:style w:type="paragraph" w:styleId="5">
    <w:name w:val="Body Text"/>
    <w:basedOn w:val="1"/>
    <w:link w:val="17"/>
    <w:qFormat/>
    <w:uiPriority w:val="0"/>
    <w:rPr>
      <w:rFonts w:cs="Simplified Arabic"/>
      <w:lang w:val="zh-CN" w:eastAsia="en-GB"/>
    </w:rPr>
  </w:style>
  <w:style w:type="paragraph" w:styleId="6">
    <w:name w:val="Balloon Text"/>
    <w:basedOn w:val="1"/>
    <w:link w:val="21"/>
    <w:semiHidden/>
    <w:unhideWhenUsed/>
    <w:qFormat/>
    <w:uiPriority w:val="99"/>
    <w:pPr>
      <w:spacing w:after="0"/>
    </w:pPr>
    <w:rPr>
      <w:rFonts w:ascii="Segoe UI" w:hAnsi="Segoe UI" w:cs="Segoe UI"/>
      <w:sz w:val="18"/>
      <w:szCs w:val="18"/>
    </w:rPr>
  </w:style>
  <w:style w:type="paragraph" w:styleId="7">
    <w:name w:val="footer"/>
    <w:basedOn w:val="1"/>
    <w:link w:val="16"/>
    <w:unhideWhenUsed/>
    <w:uiPriority w:val="99"/>
    <w:pPr>
      <w:tabs>
        <w:tab w:val="center" w:pos="4153"/>
        <w:tab w:val="right" w:pos="8306"/>
      </w:tabs>
      <w:spacing w:after="0"/>
      <w:jc w:val="left"/>
    </w:pPr>
    <w:rPr>
      <w:rFonts w:eastAsiaTheme="minorEastAsia"/>
      <w:sz w:val="16"/>
      <w:szCs w:val="22"/>
      <w:lang w:bidi="ar-SA"/>
    </w:rPr>
  </w:style>
  <w:style w:type="paragraph" w:styleId="8">
    <w:name w:val="header"/>
    <w:basedOn w:val="1"/>
    <w:link w:val="15"/>
    <w:unhideWhenUsed/>
    <w:uiPriority w:val="99"/>
    <w:pPr>
      <w:tabs>
        <w:tab w:val="center" w:pos="4153"/>
        <w:tab w:val="right" w:pos="8306"/>
      </w:tabs>
      <w:spacing w:after="0"/>
      <w:jc w:val="left"/>
    </w:pPr>
    <w:rPr>
      <w:rFonts w:asciiTheme="minorHAnsi" w:hAnsiTheme="minorHAnsi" w:eastAsiaTheme="minorEastAsia" w:cstheme="minorBidi"/>
      <w:sz w:val="22"/>
      <w:szCs w:val="22"/>
      <w:lang w:bidi="ar-SA"/>
    </w:rPr>
  </w:style>
  <w:style w:type="paragraph" w:styleId="9">
    <w:name w:val="Body Text 2"/>
    <w:basedOn w:val="1"/>
    <w:link w:val="22"/>
    <w:semiHidden/>
    <w:unhideWhenUsed/>
    <w:qFormat/>
    <w:uiPriority w:val="99"/>
    <w:pPr>
      <w:spacing w:after="120" w:line="480" w:lineRule="auto"/>
    </w:pPr>
  </w:style>
  <w:style w:type="character" w:styleId="11">
    <w:name w:val="page number"/>
    <w:basedOn w:val="10"/>
    <w:semiHidden/>
    <w:unhideWhenUsed/>
    <w:qFormat/>
    <w:uiPriority w:val="99"/>
    <w:rPr>
      <w:rFonts w:ascii="Times New Roman" w:hAnsi="Times New Roman" w:cs="Times New Roman"/>
      <w:sz w:val="24"/>
    </w:rPr>
  </w:style>
  <w:style w:type="character" w:styleId="12">
    <w:name w:val="Hyperlink"/>
    <w:qFormat/>
    <w:uiPriority w:val="99"/>
    <w:rPr>
      <w:color w:val="0000FF"/>
      <w:u w:val="single"/>
    </w:rPr>
  </w:style>
  <w:style w:type="character" w:styleId="13">
    <w:name w:val="annotation reference"/>
    <w:basedOn w:val="10"/>
    <w:semiHidden/>
    <w:unhideWhenUsed/>
    <w:uiPriority w:val="99"/>
    <w:rPr>
      <w:sz w:val="16"/>
      <w:szCs w:val="16"/>
    </w:rPr>
  </w:style>
  <w:style w:type="character" w:customStyle="1" w:styleId="15">
    <w:name w:val="页眉 字符"/>
    <w:basedOn w:val="10"/>
    <w:link w:val="8"/>
    <w:uiPriority w:val="99"/>
  </w:style>
  <w:style w:type="character" w:customStyle="1" w:styleId="16">
    <w:name w:val="页脚 字符"/>
    <w:basedOn w:val="10"/>
    <w:link w:val="7"/>
    <w:qFormat/>
    <w:uiPriority w:val="99"/>
    <w:rPr>
      <w:rFonts w:ascii="Times New Roman" w:hAnsi="Times New Roman" w:cs="Times New Roman"/>
      <w:sz w:val="16"/>
    </w:rPr>
  </w:style>
  <w:style w:type="character" w:customStyle="1" w:styleId="17">
    <w:name w:val="正文文本 字符"/>
    <w:basedOn w:val="10"/>
    <w:link w:val="5"/>
    <w:qFormat/>
    <w:uiPriority w:val="0"/>
    <w:rPr>
      <w:rFonts w:ascii="Times New Roman" w:hAnsi="Times New Roman" w:eastAsia="宋体" w:cs="Simplified Arabic"/>
      <w:sz w:val="24"/>
      <w:szCs w:val="24"/>
      <w:lang w:val="zh-CN" w:eastAsia="en-GB" w:bidi="ar-AE"/>
    </w:rPr>
  </w:style>
  <w:style w:type="paragraph" w:customStyle="1" w:styleId="18">
    <w:name w:val="Footer Right"/>
    <w:basedOn w:val="7"/>
    <w:link w:val="19"/>
    <w:qFormat/>
    <w:uiPriority w:val="0"/>
    <w:pPr>
      <w:spacing w:line="440" w:lineRule="exact"/>
      <w:jc w:val="right"/>
    </w:pPr>
    <w:rPr>
      <w:szCs w:val="28"/>
    </w:rPr>
  </w:style>
  <w:style w:type="character" w:customStyle="1" w:styleId="19">
    <w:name w:val="Footer Right Char"/>
    <w:basedOn w:val="10"/>
    <w:link w:val="18"/>
    <w:qFormat/>
    <w:uiPriority w:val="0"/>
    <w:rPr>
      <w:rFonts w:ascii="Times New Roman" w:hAnsi="Times New Roman" w:cs="Times New Roman"/>
      <w:sz w:val="16"/>
      <w:szCs w:val="28"/>
    </w:rPr>
  </w:style>
  <w:style w:type="character" w:customStyle="1" w:styleId="20">
    <w:name w:val="Unresolved Mention"/>
    <w:basedOn w:val="10"/>
    <w:semiHidden/>
    <w:unhideWhenUsed/>
    <w:qFormat/>
    <w:uiPriority w:val="99"/>
    <w:rPr>
      <w:color w:val="808080"/>
      <w:shd w:val="clear" w:color="auto" w:fill="E6E6E6"/>
    </w:rPr>
  </w:style>
  <w:style w:type="character" w:customStyle="1" w:styleId="21">
    <w:name w:val="批注框文本 字符"/>
    <w:basedOn w:val="10"/>
    <w:link w:val="6"/>
    <w:semiHidden/>
    <w:qFormat/>
    <w:uiPriority w:val="99"/>
    <w:rPr>
      <w:rFonts w:ascii="Segoe UI" w:hAnsi="Segoe UI" w:eastAsia="宋体" w:cs="Segoe UI"/>
      <w:sz w:val="18"/>
      <w:szCs w:val="18"/>
      <w:lang w:bidi="ar-AE"/>
    </w:rPr>
  </w:style>
  <w:style w:type="character" w:customStyle="1" w:styleId="22">
    <w:name w:val="正文文本 2 字符"/>
    <w:basedOn w:val="10"/>
    <w:link w:val="9"/>
    <w:semiHidden/>
    <w:qFormat/>
    <w:uiPriority w:val="99"/>
    <w:rPr>
      <w:rFonts w:ascii="Times New Roman" w:hAnsi="Times New Roman" w:eastAsia="宋体" w:cs="Times New Roman"/>
      <w:sz w:val="24"/>
      <w:szCs w:val="24"/>
      <w:lang w:bidi="ar-AE"/>
    </w:rPr>
  </w:style>
  <w:style w:type="paragraph" w:customStyle="1" w:styleId="23">
    <w:name w:val="General 3 L9"/>
    <w:basedOn w:val="1"/>
    <w:uiPriority w:val="0"/>
    <w:pPr>
      <w:numPr>
        <w:ilvl w:val="8"/>
        <w:numId w:val="1"/>
      </w:numPr>
      <w:outlineLvl w:val="8"/>
    </w:pPr>
    <w:rPr>
      <w:rFonts w:cs="Simplified Arabic"/>
      <w:bCs/>
    </w:rPr>
  </w:style>
  <w:style w:type="paragraph" w:customStyle="1" w:styleId="24">
    <w:name w:val="General 3 L8"/>
    <w:basedOn w:val="1"/>
    <w:qFormat/>
    <w:uiPriority w:val="0"/>
    <w:pPr>
      <w:numPr>
        <w:ilvl w:val="7"/>
        <w:numId w:val="1"/>
      </w:numPr>
      <w:outlineLvl w:val="7"/>
    </w:pPr>
    <w:rPr>
      <w:rFonts w:cs="Simplified Arabic"/>
      <w:bCs/>
    </w:rPr>
  </w:style>
  <w:style w:type="paragraph" w:customStyle="1" w:styleId="25">
    <w:name w:val="General 3 L7"/>
    <w:basedOn w:val="1"/>
    <w:uiPriority w:val="0"/>
    <w:pPr>
      <w:numPr>
        <w:ilvl w:val="6"/>
        <w:numId w:val="1"/>
      </w:numPr>
      <w:outlineLvl w:val="6"/>
    </w:pPr>
    <w:rPr>
      <w:rFonts w:cs="Simplified Arabic"/>
      <w:bCs/>
    </w:rPr>
  </w:style>
  <w:style w:type="paragraph" w:customStyle="1" w:styleId="26">
    <w:name w:val="General 3 L6"/>
    <w:basedOn w:val="1"/>
    <w:uiPriority w:val="0"/>
    <w:pPr>
      <w:numPr>
        <w:ilvl w:val="5"/>
        <w:numId w:val="1"/>
      </w:numPr>
      <w:outlineLvl w:val="5"/>
    </w:pPr>
    <w:rPr>
      <w:rFonts w:cs="Simplified Arabic"/>
      <w:bCs/>
    </w:rPr>
  </w:style>
  <w:style w:type="paragraph" w:customStyle="1" w:styleId="27">
    <w:name w:val="General 3 L5"/>
    <w:basedOn w:val="1"/>
    <w:next w:val="1"/>
    <w:uiPriority w:val="0"/>
    <w:pPr>
      <w:numPr>
        <w:ilvl w:val="4"/>
        <w:numId w:val="1"/>
      </w:numPr>
      <w:outlineLvl w:val="4"/>
    </w:pPr>
    <w:rPr>
      <w:rFonts w:cs="Simplified Arabic"/>
      <w:bCs/>
    </w:rPr>
  </w:style>
  <w:style w:type="paragraph" w:customStyle="1" w:styleId="28">
    <w:name w:val="General 3 L4"/>
    <w:basedOn w:val="1"/>
    <w:next w:val="4"/>
    <w:uiPriority w:val="0"/>
    <w:pPr>
      <w:numPr>
        <w:ilvl w:val="3"/>
        <w:numId w:val="1"/>
      </w:numPr>
      <w:outlineLvl w:val="3"/>
    </w:pPr>
    <w:rPr>
      <w:rFonts w:cs="Simplified Arabic"/>
      <w:bCs/>
    </w:rPr>
  </w:style>
  <w:style w:type="paragraph" w:customStyle="1" w:styleId="29">
    <w:name w:val="General 3 L3"/>
    <w:basedOn w:val="1"/>
    <w:next w:val="9"/>
    <w:uiPriority w:val="0"/>
    <w:pPr>
      <w:numPr>
        <w:ilvl w:val="2"/>
        <w:numId w:val="1"/>
      </w:numPr>
      <w:outlineLvl w:val="2"/>
    </w:pPr>
    <w:rPr>
      <w:rFonts w:cs="Simplified Arabic"/>
      <w:bCs/>
    </w:rPr>
  </w:style>
  <w:style w:type="paragraph" w:customStyle="1" w:styleId="30">
    <w:name w:val="General 3 L2"/>
    <w:basedOn w:val="1"/>
    <w:next w:val="1"/>
    <w:uiPriority w:val="0"/>
    <w:pPr>
      <w:numPr>
        <w:ilvl w:val="1"/>
        <w:numId w:val="1"/>
      </w:numPr>
      <w:outlineLvl w:val="1"/>
    </w:pPr>
    <w:rPr>
      <w:rFonts w:cs="Simplified Arabic"/>
      <w:bCs/>
    </w:rPr>
  </w:style>
  <w:style w:type="paragraph" w:customStyle="1" w:styleId="31">
    <w:name w:val="General 3 L1"/>
    <w:basedOn w:val="1"/>
    <w:next w:val="1"/>
    <w:uiPriority w:val="0"/>
    <w:pPr>
      <w:numPr>
        <w:ilvl w:val="0"/>
        <w:numId w:val="1"/>
      </w:numPr>
      <w:outlineLvl w:val="0"/>
    </w:pPr>
    <w:rPr>
      <w:rFonts w:cs="Simplified Arabic"/>
      <w:bCs/>
    </w:rPr>
  </w:style>
  <w:style w:type="character" w:customStyle="1" w:styleId="32">
    <w:name w:val="正文文本 3 字符"/>
    <w:basedOn w:val="10"/>
    <w:link w:val="4"/>
    <w:semiHidden/>
    <w:uiPriority w:val="99"/>
    <w:rPr>
      <w:rFonts w:ascii="Times New Roman" w:hAnsi="Times New Roman" w:eastAsia="宋体" w:cs="Times New Roman"/>
      <w:sz w:val="16"/>
      <w:szCs w:val="16"/>
      <w:lang w:bidi="ar-AE"/>
    </w:rPr>
  </w:style>
  <w:style w:type="paragraph" w:customStyle="1" w:styleId="33">
    <w:name w:val="Revision"/>
    <w:hidden/>
    <w:semiHidden/>
    <w:uiPriority w:val="99"/>
    <w:pPr>
      <w:spacing w:after="0" w:line="240" w:lineRule="auto"/>
    </w:pPr>
    <w:rPr>
      <w:rFonts w:ascii="Times New Roman" w:hAnsi="Times New Roman" w:eastAsia="宋体" w:cs="Times New Roman"/>
      <w:sz w:val="24"/>
      <w:szCs w:val="24"/>
      <w:lang w:val="en-GB" w:eastAsia="zh-CN" w:bidi="ar-AE"/>
    </w:rPr>
  </w:style>
  <w:style w:type="character" w:customStyle="1" w:styleId="34">
    <w:name w:val="批注文字 字符"/>
    <w:basedOn w:val="10"/>
    <w:link w:val="3"/>
    <w:semiHidden/>
    <w:uiPriority w:val="99"/>
    <w:rPr>
      <w:rFonts w:ascii="Times New Roman" w:hAnsi="Times New Roman" w:eastAsia="宋体" w:cs="Times New Roman"/>
      <w:sz w:val="20"/>
      <w:szCs w:val="20"/>
      <w:lang w:bidi="ar-AE"/>
    </w:rPr>
  </w:style>
  <w:style w:type="character" w:customStyle="1" w:styleId="35">
    <w:name w:val="批注主题 字符"/>
    <w:basedOn w:val="34"/>
    <w:link w:val="2"/>
    <w:semiHidden/>
    <w:uiPriority w:val="99"/>
    <w:rPr>
      <w:rFonts w:ascii="Times New Roman" w:hAnsi="Times New Roman" w:eastAsia="宋体" w:cs="Times New Roman"/>
      <w:b/>
      <w:bCs/>
      <w:sz w:val="20"/>
      <w:szCs w:val="20"/>
      <w:lang w:bidi="ar-A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192</Words>
  <Characters>1101</Characters>
  <Lines>9</Lines>
  <Paragraphs>2</Paragraphs>
  <TotalTime>4</TotalTime>
  <ScaleCrop>false</ScaleCrop>
  <LinksUpToDate>false</LinksUpToDate>
  <CharactersWithSpaces>1291</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2021-12-14T07:21:00Z</dcterms:created>
  <dc:creator>user</dc:creator>
  <cp:lastModifiedBy>user</cp:lastModifiedBy>
  <dcterms:modified xsi:type="dcterms:W3CDTF">2021-12-31T06:06:07Z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