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4A75" w14:textId="77777777" w:rsidR="00094095" w:rsidRPr="008E7B8C" w:rsidRDefault="00094095" w:rsidP="00094095">
      <w:pPr>
        <w:spacing w:line="440" w:lineRule="exact"/>
        <w:jc w:val="center"/>
        <w:rPr>
          <w:rFonts w:ascii="SimHei" w:eastAsia="SimHei" w:hAnsi="Times New Roman"/>
          <w:sz w:val="30"/>
          <w:szCs w:val="30"/>
        </w:rPr>
      </w:pPr>
      <w:r w:rsidRPr="00202C4C">
        <w:rPr>
          <w:rFonts w:ascii="SimHei" w:eastAsia="SimHei" w:hAnsi="Times New Roman" w:hint="eastAsia"/>
          <w:sz w:val="30"/>
          <w:szCs w:val="30"/>
        </w:rPr>
        <w:t>经营者集中简易案件公示表</w:t>
      </w:r>
    </w:p>
    <w:p w14:paraId="5C31B5C1" w14:textId="77777777" w:rsidR="00094095" w:rsidRPr="00BA1596" w:rsidRDefault="00094095" w:rsidP="00F327D9">
      <w:pPr>
        <w:spacing w:line="440" w:lineRule="exact"/>
        <w:rPr>
          <w:rFonts w:ascii="FangSong_GB2312" w:eastAsia="FangSong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094095" w:rsidRPr="006731FE" w14:paraId="0C321AFB" w14:textId="77777777" w:rsidTr="00FF4772">
        <w:tc>
          <w:tcPr>
            <w:tcW w:w="1809" w:type="dxa"/>
            <w:shd w:val="clear" w:color="auto" w:fill="D9D9D9"/>
            <w:vAlign w:val="center"/>
          </w:tcPr>
          <w:p w14:paraId="7A1683F4" w14:textId="77777777" w:rsidR="00094095" w:rsidRPr="006731FE" w:rsidRDefault="00094095" w:rsidP="00FF4772">
            <w:pPr>
              <w:spacing w:line="500" w:lineRule="exact"/>
              <w:rPr>
                <w:rFonts w:ascii="Arial" w:hAnsi="Arial" w:cs="Arial"/>
                <w:kern w:val="0"/>
                <w:szCs w:val="21"/>
              </w:rPr>
            </w:pPr>
            <w:r w:rsidRPr="006731FE">
              <w:rPr>
                <w:rFonts w:ascii="Arial" w:hAnsi="Arial" w:cs="Arial" w:hint="eastAsia"/>
                <w:kern w:val="0"/>
                <w:szCs w:val="21"/>
              </w:rPr>
              <w:t>案件名称</w:t>
            </w:r>
          </w:p>
        </w:tc>
        <w:tc>
          <w:tcPr>
            <w:tcW w:w="6949" w:type="dxa"/>
            <w:gridSpan w:val="2"/>
            <w:vAlign w:val="center"/>
          </w:tcPr>
          <w:p w14:paraId="4CD1157C" w14:textId="0CAC31DB" w:rsidR="00094095" w:rsidRPr="006731FE" w:rsidRDefault="00DC3A79" w:rsidP="00FF4772">
            <w:pPr>
              <w:spacing w:line="500" w:lineRule="exact"/>
              <w:rPr>
                <w:rFonts w:ascii="Arial" w:hAnsi="Arial" w:cs="Arial"/>
                <w:kern w:val="0"/>
                <w:szCs w:val="21"/>
              </w:rPr>
            </w:pPr>
            <w:r w:rsidRPr="00166881">
              <w:rPr>
                <w:rFonts w:ascii="Arial" w:hAnsi="Arial" w:cs="Arial"/>
                <w:kern w:val="0"/>
                <w:szCs w:val="21"/>
              </w:rPr>
              <w:t>安大略</w:t>
            </w:r>
            <w:proofErr w:type="gramStart"/>
            <w:r w:rsidRPr="00166881">
              <w:rPr>
                <w:rFonts w:ascii="Arial" w:hAnsi="Arial" w:cs="Arial"/>
                <w:kern w:val="0"/>
                <w:szCs w:val="21"/>
              </w:rPr>
              <w:t>省教师</w:t>
            </w:r>
            <w:proofErr w:type="gramEnd"/>
            <w:r w:rsidRPr="00166881">
              <w:rPr>
                <w:rFonts w:ascii="Arial" w:hAnsi="Arial" w:cs="Arial"/>
                <w:kern w:val="0"/>
                <w:szCs w:val="21"/>
              </w:rPr>
              <w:t>退休基金会委员会收购</w:t>
            </w:r>
            <w:r>
              <w:rPr>
                <w:rFonts w:ascii="Arial" w:hAnsi="Arial" w:cs="Arial" w:hint="eastAsia"/>
                <w:kern w:val="0"/>
                <w:szCs w:val="21"/>
              </w:rPr>
              <w:t>绿色气候有限</w:t>
            </w:r>
            <w:r w:rsidRPr="00166881">
              <w:rPr>
                <w:rFonts w:ascii="Arial" w:hAnsi="Arial" w:cs="Arial"/>
                <w:kern w:val="0"/>
                <w:szCs w:val="21"/>
              </w:rPr>
              <w:t>公司股权案</w:t>
            </w:r>
          </w:p>
        </w:tc>
      </w:tr>
      <w:tr w:rsidR="00094095" w:rsidRPr="006731FE" w14:paraId="53C8411E" w14:textId="77777777" w:rsidTr="002F2D60">
        <w:trPr>
          <w:trHeight w:val="993"/>
        </w:trPr>
        <w:tc>
          <w:tcPr>
            <w:tcW w:w="1809" w:type="dxa"/>
            <w:shd w:val="clear" w:color="auto" w:fill="D9D9D9"/>
          </w:tcPr>
          <w:p w14:paraId="7941B5FE" w14:textId="77777777" w:rsidR="00094095" w:rsidRPr="006731FE" w:rsidRDefault="00094095" w:rsidP="002F2D60">
            <w:pPr>
              <w:spacing w:line="500" w:lineRule="exact"/>
              <w:rPr>
                <w:rFonts w:ascii="Arial" w:hAnsi="Arial" w:cs="Arial"/>
                <w:kern w:val="0"/>
                <w:szCs w:val="21"/>
              </w:rPr>
            </w:pPr>
            <w:r w:rsidRPr="006731FE">
              <w:rPr>
                <w:rFonts w:ascii="Arial" w:hAnsi="Arial" w:cs="Arial" w:hint="eastAsia"/>
                <w:kern w:val="0"/>
                <w:szCs w:val="21"/>
              </w:rPr>
              <w:t>交易概况（限</w:t>
            </w:r>
            <w:r w:rsidRPr="006731FE">
              <w:rPr>
                <w:rFonts w:ascii="Arial" w:hAnsi="Arial" w:cs="Arial" w:hint="eastAsia"/>
                <w:kern w:val="0"/>
                <w:szCs w:val="21"/>
              </w:rPr>
              <w:t>200</w:t>
            </w:r>
            <w:r w:rsidRPr="006731FE">
              <w:rPr>
                <w:rFonts w:ascii="Arial" w:hAnsi="Arial" w:cs="Arial" w:hint="eastAsia"/>
                <w:kern w:val="0"/>
                <w:szCs w:val="21"/>
              </w:rPr>
              <w:t>字内）</w:t>
            </w:r>
          </w:p>
        </w:tc>
        <w:tc>
          <w:tcPr>
            <w:tcW w:w="6949" w:type="dxa"/>
            <w:gridSpan w:val="2"/>
          </w:tcPr>
          <w:p w14:paraId="68EFD4EC" w14:textId="098A6B3B" w:rsidR="00094095" w:rsidRPr="001C4B6D" w:rsidRDefault="00DC3A79" w:rsidP="004D09F4">
            <w:pPr>
              <w:pStyle w:val="ListParagraph"/>
              <w:widowControl/>
              <w:spacing w:line="500" w:lineRule="exact"/>
              <w:ind w:left="0"/>
              <w:rPr>
                <w:rFonts w:ascii="Arial" w:hAnsi="Arial" w:cs="Arial"/>
                <w:b/>
                <w:bCs/>
                <w:sz w:val="20"/>
                <w:szCs w:val="20"/>
                <w:lang w:val="x-none"/>
              </w:rPr>
            </w:pPr>
            <w:r>
              <w:rPr>
                <w:rFonts w:ascii="Arial" w:hAnsi="Arial" w:cs="Arial" w:hint="eastAsia"/>
                <w:szCs w:val="21"/>
              </w:rPr>
              <w:t>拟议交易涉及</w:t>
            </w:r>
            <w:r w:rsidRPr="00166881">
              <w:rPr>
                <w:rFonts w:ascii="Arial" w:hAnsi="Arial" w:cs="Arial"/>
                <w:kern w:val="0"/>
                <w:szCs w:val="21"/>
              </w:rPr>
              <w:t>安大略</w:t>
            </w:r>
            <w:proofErr w:type="gramStart"/>
            <w:r w:rsidRPr="00166881">
              <w:rPr>
                <w:rFonts w:ascii="Arial" w:hAnsi="Arial" w:cs="Arial"/>
                <w:kern w:val="0"/>
                <w:szCs w:val="21"/>
              </w:rPr>
              <w:t>省教师</w:t>
            </w:r>
            <w:proofErr w:type="gramEnd"/>
            <w:r w:rsidRPr="00166881">
              <w:rPr>
                <w:rFonts w:ascii="Arial" w:hAnsi="Arial" w:cs="Arial"/>
                <w:kern w:val="0"/>
                <w:szCs w:val="21"/>
              </w:rPr>
              <w:t>退休基金会委员会</w:t>
            </w:r>
            <w:r>
              <w:rPr>
                <w:rFonts w:ascii="Arial" w:hAnsi="Arial" w:cs="Arial" w:hint="eastAsia"/>
                <w:kern w:val="0"/>
                <w:szCs w:val="21"/>
              </w:rPr>
              <w:t>（</w:t>
            </w:r>
            <w:r w:rsidR="00EC31FB">
              <w:rPr>
                <w:rFonts w:ascii="Arial" w:hAnsi="Arial" w:cs="Arial" w:hint="eastAsia"/>
                <w:kern w:val="0"/>
                <w:szCs w:val="21"/>
              </w:rPr>
              <w:t>连同其关联实体，简称</w:t>
            </w:r>
            <w:r>
              <w:rPr>
                <w:rFonts w:ascii="Arial" w:hAnsi="Arial" w:cs="Arial" w:hint="eastAsia"/>
                <w:kern w:val="0"/>
                <w:szCs w:val="21"/>
              </w:rPr>
              <w:t>“</w:t>
            </w:r>
            <w:r w:rsidRPr="00DC3A79">
              <w:rPr>
                <w:rFonts w:ascii="Arial" w:hAnsi="Arial" w:cs="Arial" w:hint="eastAsia"/>
                <w:b/>
                <w:bCs/>
                <w:szCs w:val="21"/>
              </w:rPr>
              <w:t>OTPP</w:t>
            </w:r>
            <w:r>
              <w:rPr>
                <w:rFonts w:ascii="Arial" w:hAnsi="Arial" w:cs="Arial" w:hint="eastAsia"/>
                <w:szCs w:val="21"/>
              </w:rPr>
              <w:t>”）</w:t>
            </w:r>
            <w:r w:rsidR="00D67DD5">
              <w:rPr>
                <w:rFonts w:ascii="Arial" w:hAnsi="Arial" w:cs="Arial" w:hint="eastAsia"/>
                <w:szCs w:val="21"/>
              </w:rPr>
              <w:t>通过股份转让及认购新股的方式获得绿色气候公司（连同其关联实体，简称“</w:t>
            </w:r>
            <w:proofErr w:type="spellStart"/>
            <w:r w:rsidR="00D67DD5">
              <w:rPr>
                <w:rFonts w:ascii="Arial" w:hAnsi="Arial" w:cs="Arial"/>
                <w:b/>
                <w:bCs/>
                <w:szCs w:val="21"/>
              </w:rPr>
              <w:t>GreenCollar</w:t>
            </w:r>
            <w:proofErr w:type="spellEnd"/>
            <w:r w:rsidR="00D67DD5">
              <w:rPr>
                <w:rFonts w:ascii="Arial" w:hAnsi="Arial" w:cs="Arial" w:hint="eastAsia"/>
                <w:szCs w:val="21"/>
              </w:rPr>
              <w:t>”）中的</w:t>
            </w:r>
            <w:r w:rsidR="003C062C">
              <w:rPr>
                <w:rFonts w:ascii="Arial" w:hAnsi="Arial" w:cs="Arial" w:hint="eastAsia"/>
                <w:szCs w:val="21"/>
              </w:rPr>
              <w:t>部分</w:t>
            </w:r>
            <w:r w:rsidR="00D67DD5">
              <w:rPr>
                <w:rFonts w:ascii="Arial" w:hAnsi="Arial" w:cs="Arial" w:hint="eastAsia"/>
                <w:szCs w:val="21"/>
              </w:rPr>
              <w:t>股权。</w:t>
            </w:r>
            <w:r>
              <w:rPr>
                <w:rFonts w:ascii="Arial" w:hAnsi="Arial" w:cs="Arial" w:hint="eastAsia"/>
                <w:szCs w:val="21"/>
              </w:rPr>
              <w:t>拟议交易完成后，</w:t>
            </w:r>
            <w:r w:rsidRPr="00DC3A79">
              <w:rPr>
                <w:rFonts w:ascii="Arial" w:hAnsi="Arial" w:cs="Arial" w:hint="eastAsia"/>
                <w:szCs w:val="21"/>
              </w:rPr>
              <w:t>KKR</w:t>
            </w:r>
            <w:r w:rsidR="00EC31FB">
              <w:rPr>
                <w:rFonts w:ascii="Arial" w:hAnsi="Arial" w:cs="Arial" w:hint="eastAsia"/>
                <w:szCs w:val="21"/>
              </w:rPr>
              <w:t>公司（连同其关联实体，简称“</w:t>
            </w:r>
            <w:r w:rsidR="00EC31FB">
              <w:rPr>
                <w:rFonts w:ascii="Arial" w:hAnsi="Arial" w:cs="Arial" w:hint="eastAsia"/>
                <w:b/>
                <w:bCs/>
                <w:szCs w:val="21"/>
              </w:rPr>
              <w:t>KKR</w:t>
            </w:r>
            <w:r w:rsidR="00EC31FB">
              <w:rPr>
                <w:rFonts w:ascii="Arial" w:hAnsi="Arial" w:cs="Arial" w:hint="eastAsia"/>
                <w:szCs w:val="21"/>
              </w:rPr>
              <w:t>”）</w:t>
            </w:r>
            <w:r w:rsidRPr="00DC3A79">
              <w:rPr>
                <w:rFonts w:ascii="Arial" w:hAnsi="Arial" w:cs="Arial" w:hint="eastAsia"/>
                <w:szCs w:val="21"/>
              </w:rPr>
              <w:t>和</w:t>
            </w:r>
            <w:r w:rsidRPr="00DC3A79">
              <w:rPr>
                <w:rFonts w:ascii="Arial" w:hAnsi="Arial" w:cs="Arial" w:hint="eastAsia"/>
                <w:szCs w:val="21"/>
              </w:rPr>
              <w:t>OTPP</w:t>
            </w:r>
            <w:r w:rsidRPr="00DC3A79">
              <w:rPr>
                <w:rFonts w:ascii="Arial" w:hAnsi="Arial" w:cs="Arial" w:hint="eastAsia"/>
                <w:szCs w:val="21"/>
              </w:rPr>
              <w:t>将共同控制</w:t>
            </w:r>
            <w:proofErr w:type="spellStart"/>
            <w:r w:rsidRPr="00DC3A79">
              <w:rPr>
                <w:rFonts w:ascii="Arial" w:hAnsi="Arial" w:cs="Arial" w:hint="eastAsia"/>
                <w:szCs w:val="21"/>
              </w:rPr>
              <w:t>GreenCollar</w:t>
            </w:r>
            <w:proofErr w:type="spellEnd"/>
            <w:r w:rsidRPr="00DC3A79">
              <w:rPr>
                <w:rFonts w:ascii="Arial" w:hAnsi="Arial" w:cs="Arial" w:hint="eastAsia"/>
                <w:szCs w:val="21"/>
              </w:rPr>
              <w:t>。</w:t>
            </w:r>
          </w:p>
        </w:tc>
      </w:tr>
      <w:tr w:rsidR="002A00AD" w:rsidRPr="006731FE" w14:paraId="1F31B0EA" w14:textId="77777777" w:rsidTr="002F2D60">
        <w:trPr>
          <w:trHeight w:val="404"/>
        </w:trPr>
        <w:tc>
          <w:tcPr>
            <w:tcW w:w="1809" w:type="dxa"/>
            <w:vMerge w:val="restart"/>
            <w:shd w:val="clear" w:color="auto" w:fill="D9D9D9"/>
          </w:tcPr>
          <w:p w14:paraId="37F4672C" w14:textId="7AF6F9B4" w:rsidR="002A00AD" w:rsidRPr="006731FE" w:rsidRDefault="00DC3A79" w:rsidP="003500AF">
            <w:pPr>
              <w:spacing w:line="500" w:lineRule="exact"/>
              <w:rPr>
                <w:rFonts w:ascii="Arial" w:hAnsi="Arial" w:cs="Arial"/>
                <w:kern w:val="0"/>
                <w:szCs w:val="21"/>
              </w:rPr>
            </w:pPr>
            <w:r w:rsidRPr="006731FE">
              <w:rPr>
                <w:rFonts w:ascii="Arial" w:hAnsi="Arial" w:cs="Arial" w:hint="eastAsia"/>
                <w:kern w:val="0"/>
                <w:szCs w:val="21"/>
              </w:rPr>
              <w:t>参与集中的经营者简介</w:t>
            </w:r>
          </w:p>
        </w:tc>
        <w:tc>
          <w:tcPr>
            <w:tcW w:w="1796" w:type="dxa"/>
          </w:tcPr>
          <w:p w14:paraId="3626D508" w14:textId="75A1B7D7" w:rsidR="002A00AD" w:rsidRPr="006731FE" w:rsidRDefault="00DC3A79" w:rsidP="002E2E29">
            <w:pPr>
              <w:spacing w:line="500" w:lineRule="exact"/>
              <w:jc w:val="left"/>
              <w:rPr>
                <w:rFonts w:ascii="Arial" w:hAnsi="Arial" w:cs="Arial"/>
                <w:kern w:val="0"/>
                <w:szCs w:val="21"/>
              </w:rPr>
            </w:pPr>
            <w:r>
              <w:rPr>
                <w:rFonts w:ascii="Arial" w:hAnsi="Arial" w:cs="Arial" w:hint="eastAsia"/>
                <w:kern w:val="0"/>
                <w:szCs w:val="21"/>
              </w:rPr>
              <w:t>1</w:t>
            </w:r>
            <w:r>
              <w:rPr>
                <w:rFonts w:ascii="Arial" w:hAnsi="Arial" w:cs="Arial" w:hint="eastAsia"/>
                <w:kern w:val="0"/>
                <w:szCs w:val="21"/>
              </w:rPr>
              <w:t>、</w:t>
            </w:r>
            <w:r w:rsidR="002A00AD" w:rsidRPr="00B354A7">
              <w:rPr>
                <w:rFonts w:ascii="Arial" w:hAnsi="Arial" w:cs="Arial"/>
                <w:kern w:val="0"/>
                <w:szCs w:val="21"/>
              </w:rPr>
              <w:t>OTPP</w:t>
            </w:r>
          </w:p>
        </w:tc>
        <w:tc>
          <w:tcPr>
            <w:tcW w:w="5153" w:type="dxa"/>
          </w:tcPr>
          <w:p w14:paraId="0AC769C7" w14:textId="73B82020" w:rsidR="002A00AD" w:rsidRPr="006731FE" w:rsidRDefault="002A00AD" w:rsidP="003500AF">
            <w:pPr>
              <w:spacing w:line="500" w:lineRule="exact"/>
              <w:rPr>
                <w:rFonts w:ascii="Arial" w:hAnsi="Arial" w:cs="Arial"/>
                <w:kern w:val="0"/>
                <w:szCs w:val="21"/>
              </w:rPr>
            </w:pPr>
            <w:r w:rsidRPr="006731FE">
              <w:rPr>
                <w:rFonts w:ascii="Arial" w:hAnsi="Arial" w:cs="Arial" w:hint="eastAsia"/>
                <w:kern w:val="0"/>
                <w:szCs w:val="21"/>
              </w:rPr>
              <w:t>OTPP</w:t>
            </w:r>
            <w:r w:rsidRPr="006731FE">
              <w:rPr>
                <w:rFonts w:ascii="Arial" w:hAnsi="Arial" w:cs="Arial"/>
                <w:kern w:val="0"/>
                <w:szCs w:val="21"/>
              </w:rPr>
              <w:t>是一家</w:t>
            </w:r>
            <w:r w:rsidRPr="006731FE">
              <w:rPr>
                <w:rFonts w:ascii="Arial" w:hAnsi="Arial" w:cs="Arial" w:hint="eastAsia"/>
                <w:kern w:val="0"/>
                <w:szCs w:val="21"/>
              </w:rPr>
              <w:t>安大略省政府</w:t>
            </w:r>
            <w:r w:rsidR="00634A38" w:rsidRPr="006731FE">
              <w:rPr>
                <w:rFonts w:ascii="Arial" w:hAnsi="Arial" w:cs="Arial" w:hint="eastAsia"/>
                <w:kern w:val="0"/>
                <w:szCs w:val="21"/>
              </w:rPr>
              <w:t>于</w:t>
            </w:r>
            <w:r w:rsidR="00634A38" w:rsidRPr="006731FE">
              <w:rPr>
                <w:rFonts w:ascii="Arial" w:hAnsi="Arial" w:cs="Arial" w:hint="eastAsia"/>
                <w:kern w:val="0"/>
                <w:szCs w:val="21"/>
              </w:rPr>
              <w:t>1990</w:t>
            </w:r>
            <w:r w:rsidR="00634A38" w:rsidRPr="006731FE">
              <w:rPr>
                <w:rFonts w:ascii="Arial" w:hAnsi="Arial" w:cs="Arial" w:hint="eastAsia"/>
                <w:kern w:val="0"/>
                <w:szCs w:val="21"/>
              </w:rPr>
              <w:t>年</w:t>
            </w:r>
            <w:r w:rsidRPr="006731FE">
              <w:rPr>
                <w:rFonts w:ascii="Arial" w:hAnsi="Arial" w:cs="Arial"/>
                <w:kern w:val="0"/>
                <w:szCs w:val="21"/>
              </w:rPr>
              <w:t>根据《安大略省教师退休基金会法案》设立的无股本公司</w:t>
            </w:r>
            <w:r w:rsidRPr="006731FE">
              <w:rPr>
                <w:rFonts w:ascii="Arial" w:hAnsi="Arial" w:cs="Arial" w:hint="eastAsia"/>
                <w:kern w:val="0"/>
                <w:szCs w:val="21"/>
              </w:rPr>
              <w:t>。</w:t>
            </w:r>
            <w:r w:rsidRPr="006731FE">
              <w:rPr>
                <w:rFonts w:ascii="Arial" w:hAnsi="Arial" w:cs="Arial"/>
                <w:kern w:val="0"/>
                <w:szCs w:val="21"/>
              </w:rPr>
              <w:t>其主营办公地点位于加拿大安大略省多伦多市。</w:t>
            </w:r>
            <w:r w:rsidRPr="006731FE">
              <w:rPr>
                <w:rFonts w:ascii="Arial" w:hAnsi="Arial" w:cs="Arial"/>
                <w:kern w:val="0"/>
                <w:szCs w:val="21"/>
              </w:rPr>
              <w:t>OTPP</w:t>
            </w:r>
            <w:r w:rsidRPr="006731FE">
              <w:rPr>
                <w:rFonts w:ascii="Arial" w:hAnsi="Arial" w:cs="Arial"/>
                <w:kern w:val="0"/>
                <w:szCs w:val="21"/>
              </w:rPr>
              <w:t>负责代表加拿大</w:t>
            </w:r>
            <w:proofErr w:type="gramStart"/>
            <w:r w:rsidRPr="006731FE">
              <w:rPr>
                <w:rFonts w:ascii="Arial" w:hAnsi="Arial" w:cs="Arial"/>
                <w:kern w:val="0"/>
                <w:szCs w:val="21"/>
              </w:rPr>
              <w:t>安大略省约</w:t>
            </w:r>
            <w:proofErr w:type="gramEnd"/>
            <w:r w:rsidRPr="006731FE">
              <w:rPr>
                <w:rFonts w:ascii="Arial" w:hAnsi="Arial" w:cs="Arial"/>
                <w:kern w:val="0"/>
                <w:szCs w:val="21"/>
              </w:rPr>
              <w:t>331,000</w:t>
            </w:r>
            <w:r w:rsidRPr="006731FE">
              <w:rPr>
                <w:rFonts w:ascii="Arial" w:hAnsi="Arial" w:cs="Arial"/>
                <w:kern w:val="0"/>
                <w:szCs w:val="21"/>
              </w:rPr>
              <w:t>名在职及退休教师管理退休金收益并对退休金计划资产进行投资。</w:t>
            </w:r>
          </w:p>
        </w:tc>
      </w:tr>
      <w:tr w:rsidR="002A00AD" w:rsidRPr="006731FE" w14:paraId="663AF8C9" w14:textId="77777777" w:rsidTr="002F2D60">
        <w:trPr>
          <w:trHeight w:val="404"/>
        </w:trPr>
        <w:tc>
          <w:tcPr>
            <w:tcW w:w="1809" w:type="dxa"/>
            <w:vMerge/>
            <w:shd w:val="clear" w:color="auto" w:fill="D9D9D9"/>
          </w:tcPr>
          <w:p w14:paraId="505CCEA2" w14:textId="77777777" w:rsidR="002A00AD" w:rsidRPr="006731FE" w:rsidRDefault="002A00AD" w:rsidP="003500AF">
            <w:pPr>
              <w:spacing w:line="500" w:lineRule="exact"/>
              <w:rPr>
                <w:rFonts w:ascii="Arial" w:hAnsi="Arial" w:cs="Arial"/>
                <w:kern w:val="0"/>
                <w:szCs w:val="21"/>
              </w:rPr>
            </w:pPr>
          </w:p>
        </w:tc>
        <w:tc>
          <w:tcPr>
            <w:tcW w:w="1796" w:type="dxa"/>
          </w:tcPr>
          <w:p w14:paraId="136FFD96" w14:textId="78740041" w:rsidR="002A00AD" w:rsidRPr="006731FE" w:rsidRDefault="00DC3A79" w:rsidP="002E2E29">
            <w:pPr>
              <w:spacing w:line="500" w:lineRule="exact"/>
              <w:jc w:val="left"/>
              <w:rPr>
                <w:rFonts w:ascii="Arial" w:hAnsi="Arial" w:cs="Arial"/>
                <w:kern w:val="0"/>
                <w:szCs w:val="21"/>
              </w:rPr>
            </w:pPr>
            <w:r>
              <w:rPr>
                <w:rFonts w:ascii="Arial" w:hAnsi="Arial" w:cs="Arial" w:hint="eastAsia"/>
                <w:kern w:val="0"/>
                <w:szCs w:val="21"/>
              </w:rPr>
              <w:t>2</w:t>
            </w:r>
            <w:r w:rsidR="002A00AD" w:rsidRPr="006731FE">
              <w:rPr>
                <w:rFonts w:ascii="Arial" w:hAnsi="Arial" w:cs="Arial" w:hint="eastAsia"/>
                <w:kern w:val="0"/>
                <w:szCs w:val="21"/>
              </w:rPr>
              <w:t>、</w:t>
            </w:r>
            <w:r w:rsidRPr="006731FE">
              <w:rPr>
                <w:rFonts w:ascii="Arial" w:hAnsi="Arial" w:cs="Arial"/>
                <w:kern w:val="0"/>
                <w:szCs w:val="21"/>
              </w:rPr>
              <w:t>KKR</w:t>
            </w:r>
          </w:p>
        </w:tc>
        <w:tc>
          <w:tcPr>
            <w:tcW w:w="5153" w:type="dxa"/>
          </w:tcPr>
          <w:p w14:paraId="4A602A13" w14:textId="56866608" w:rsidR="002A00AD" w:rsidRPr="00DC3A79" w:rsidRDefault="00DC3A79" w:rsidP="003500AF">
            <w:pPr>
              <w:spacing w:line="500" w:lineRule="exact"/>
              <w:rPr>
                <w:rFonts w:ascii="Arial" w:hAnsi="Arial" w:cs="Arial"/>
                <w:kern w:val="0"/>
                <w:szCs w:val="21"/>
              </w:rPr>
            </w:pPr>
            <w:r w:rsidRPr="00DC3A79">
              <w:rPr>
                <w:rFonts w:ascii="Arial" w:hAnsi="Arial" w:cs="Arial" w:hint="eastAsia"/>
                <w:kern w:val="0"/>
                <w:szCs w:val="21"/>
              </w:rPr>
              <w:t>KKR</w:t>
            </w:r>
            <w:r w:rsidRPr="00DC3A79">
              <w:rPr>
                <w:rFonts w:ascii="Arial" w:hAnsi="Arial" w:cs="Arial" w:hint="eastAsia"/>
                <w:kern w:val="0"/>
                <w:szCs w:val="21"/>
              </w:rPr>
              <w:t>是一家全球性投资公司，提供另类资产管理、资本市场以及保险方案。</w:t>
            </w:r>
            <w:r w:rsidRPr="00DC3A79">
              <w:rPr>
                <w:rFonts w:ascii="Arial" w:hAnsi="Arial" w:cs="Arial" w:hint="eastAsia"/>
                <w:kern w:val="0"/>
                <w:szCs w:val="21"/>
              </w:rPr>
              <w:t>KKR</w:t>
            </w:r>
            <w:r w:rsidRPr="00DC3A79">
              <w:rPr>
                <w:rFonts w:ascii="Arial" w:hAnsi="Arial" w:cs="Arial" w:hint="eastAsia"/>
                <w:kern w:val="0"/>
                <w:szCs w:val="21"/>
              </w:rPr>
              <w:t>与其管理对冲基金的战略伙伴一道，管理包括私募股权、信贷和房地产在内的多种另类资产类别。</w:t>
            </w:r>
          </w:p>
        </w:tc>
      </w:tr>
      <w:tr w:rsidR="003500AF" w:rsidRPr="006731FE" w14:paraId="373B5E56" w14:textId="77777777" w:rsidTr="002F2D60">
        <w:trPr>
          <w:trHeight w:val="279"/>
        </w:trPr>
        <w:tc>
          <w:tcPr>
            <w:tcW w:w="1809" w:type="dxa"/>
            <w:vMerge w:val="restart"/>
            <w:shd w:val="clear" w:color="auto" w:fill="D9D9D9"/>
          </w:tcPr>
          <w:p w14:paraId="7F6727B5" w14:textId="77777777" w:rsidR="003500AF" w:rsidRPr="006731FE" w:rsidRDefault="003500AF" w:rsidP="003500AF">
            <w:pPr>
              <w:spacing w:line="500" w:lineRule="exact"/>
              <w:rPr>
                <w:rFonts w:ascii="Arial" w:hAnsi="Arial" w:cs="Arial"/>
                <w:kern w:val="0"/>
                <w:szCs w:val="21"/>
              </w:rPr>
            </w:pPr>
            <w:r w:rsidRPr="006731FE">
              <w:rPr>
                <w:rFonts w:ascii="Arial" w:hAnsi="Arial" w:cs="Arial" w:hint="eastAsia"/>
                <w:kern w:val="0"/>
                <w:szCs w:val="21"/>
              </w:rPr>
              <w:t>简易案件理由（可以单选，也可以多选）</w:t>
            </w:r>
          </w:p>
        </w:tc>
        <w:tc>
          <w:tcPr>
            <w:tcW w:w="6949" w:type="dxa"/>
            <w:gridSpan w:val="2"/>
          </w:tcPr>
          <w:p w14:paraId="336B5227" w14:textId="77777777" w:rsidR="003500AF" w:rsidRPr="006731FE" w:rsidRDefault="003500AF" w:rsidP="003500AF">
            <w:pPr>
              <w:spacing w:line="500" w:lineRule="exact"/>
              <w:rPr>
                <w:rFonts w:ascii="Arial" w:hAnsi="Arial" w:cs="Arial"/>
                <w:kern w:val="0"/>
                <w:szCs w:val="21"/>
              </w:rPr>
            </w:pPr>
            <w:r w:rsidRPr="006731FE">
              <w:rPr>
                <w:rFonts w:ascii="Arial" w:hAnsi="Arial" w:cs="Arial" w:hint="eastAsia"/>
                <w:kern w:val="0"/>
                <w:szCs w:val="21"/>
              </w:rPr>
              <w:t>□</w:t>
            </w:r>
            <w:r w:rsidRPr="006731FE">
              <w:rPr>
                <w:rFonts w:ascii="Arial" w:hAnsi="Arial" w:cs="Arial" w:hint="eastAsia"/>
                <w:kern w:val="0"/>
                <w:szCs w:val="21"/>
              </w:rPr>
              <w:t>1</w:t>
            </w:r>
            <w:r w:rsidRPr="006731FE">
              <w:rPr>
                <w:rFonts w:ascii="Arial" w:hAnsi="Arial" w:cs="Arial" w:hint="eastAsia"/>
                <w:kern w:val="0"/>
                <w:szCs w:val="21"/>
              </w:rPr>
              <w:t>、在同一相关市场，所有参与集中的经营者所占市场份额之和小于</w:t>
            </w:r>
            <w:r w:rsidRPr="006731FE">
              <w:rPr>
                <w:rFonts w:ascii="Arial" w:hAnsi="Arial" w:cs="Arial" w:hint="eastAsia"/>
                <w:kern w:val="0"/>
                <w:szCs w:val="21"/>
              </w:rPr>
              <w:t>15%</w:t>
            </w:r>
            <w:r w:rsidRPr="006731FE">
              <w:rPr>
                <w:rFonts w:ascii="Arial" w:hAnsi="Arial" w:cs="Arial" w:hint="eastAsia"/>
                <w:kern w:val="0"/>
                <w:szCs w:val="21"/>
              </w:rPr>
              <w:t>。</w:t>
            </w:r>
          </w:p>
        </w:tc>
      </w:tr>
      <w:tr w:rsidR="003500AF" w:rsidRPr="006731FE" w14:paraId="16D2276C" w14:textId="77777777" w:rsidTr="002F2D60">
        <w:trPr>
          <w:trHeight w:val="330"/>
        </w:trPr>
        <w:tc>
          <w:tcPr>
            <w:tcW w:w="1809" w:type="dxa"/>
            <w:vMerge/>
            <w:shd w:val="clear" w:color="auto" w:fill="D9D9D9"/>
          </w:tcPr>
          <w:p w14:paraId="7B9EDD9C" w14:textId="77777777" w:rsidR="003500AF" w:rsidRPr="006731FE" w:rsidRDefault="003500AF" w:rsidP="003500AF">
            <w:pPr>
              <w:spacing w:line="500" w:lineRule="exact"/>
              <w:rPr>
                <w:rFonts w:ascii="Arial" w:hAnsi="Arial" w:cs="Arial"/>
                <w:kern w:val="0"/>
                <w:szCs w:val="21"/>
              </w:rPr>
            </w:pPr>
          </w:p>
        </w:tc>
        <w:tc>
          <w:tcPr>
            <w:tcW w:w="6949" w:type="dxa"/>
            <w:gridSpan w:val="2"/>
          </w:tcPr>
          <w:p w14:paraId="18A897BF" w14:textId="77777777" w:rsidR="003500AF" w:rsidRPr="006731FE" w:rsidRDefault="003500AF" w:rsidP="003500AF">
            <w:pPr>
              <w:spacing w:line="500" w:lineRule="exact"/>
              <w:rPr>
                <w:rFonts w:ascii="Arial" w:hAnsi="Arial" w:cs="Arial"/>
                <w:kern w:val="0"/>
                <w:szCs w:val="21"/>
              </w:rPr>
            </w:pPr>
            <w:r w:rsidRPr="006731FE">
              <w:rPr>
                <w:rFonts w:ascii="Arial" w:hAnsi="Arial" w:cs="Arial" w:hint="eastAsia"/>
                <w:kern w:val="0"/>
                <w:szCs w:val="21"/>
              </w:rPr>
              <w:t>□</w:t>
            </w:r>
            <w:r w:rsidRPr="006731FE">
              <w:rPr>
                <w:rFonts w:ascii="Arial" w:hAnsi="Arial" w:cs="Arial" w:hint="eastAsia"/>
                <w:kern w:val="0"/>
                <w:szCs w:val="21"/>
              </w:rPr>
              <w:t>2</w:t>
            </w:r>
            <w:r w:rsidRPr="006731FE">
              <w:rPr>
                <w:rFonts w:ascii="Arial" w:hAnsi="Arial" w:cs="Arial" w:hint="eastAsia"/>
                <w:kern w:val="0"/>
                <w:szCs w:val="21"/>
              </w:rPr>
              <w:t>、存在上下游关系的参与集中的经营者，在上下游市场所占的市场份额均小于</w:t>
            </w:r>
            <w:r w:rsidRPr="006731FE">
              <w:rPr>
                <w:rFonts w:ascii="Arial" w:hAnsi="Arial" w:cs="Arial" w:hint="eastAsia"/>
                <w:kern w:val="0"/>
                <w:szCs w:val="21"/>
              </w:rPr>
              <w:t>25%</w:t>
            </w:r>
            <w:r w:rsidRPr="006731FE">
              <w:rPr>
                <w:rFonts w:ascii="Arial" w:hAnsi="Arial" w:cs="Arial" w:hint="eastAsia"/>
                <w:kern w:val="0"/>
                <w:szCs w:val="21"/>
              </w:rPr>
              <w:t>。</w:t>
            </w:r>
          </w:p>
        </w:tc>
      </w:tr>
      <w:tr w:rsidR="003500AF" w:rsidRPr="006731FE" w14:paraId="09A0D77B" w14:textId="77777777" w:rsidTr="002F2D60">
        <w:trPr>
          <w:trHeight w:val="285"/>
        </w:trPr>
        <w:tc>
          <w:tcPr>
            <w:tcW w:w="1809" w:type="dxa"/>
            <w:vMerge/>
            <w:shd w:val="clear" w:color="auto" w:fill="D9D9D9"/>
          </w:tcPr>
          <w:p w14:paraId="173F1415" w14:textId="77777777" w:rsidR="003500AF" w:rsidRPr="006731FE" w:rsidRDefault="003500AF" w:rsidP="003500AF">
            <w:pPr>
              <w:spacing w:line="500" w:lineRule="exact"/>
              <w:rPr>
                <w:rFonts w:ascii="Arial" w:hAnsi="Arial" w:cs="Arial"/>
                <w:kern w:val="0"/>
                <w:szCs w:val="21"/>
              </w:rPr>
            </w:pPr>
          </w:p>
        </w:tc>
        <w:tc>
          <w:tcPr>
            <w:tcW w:w="6949" w:type="dxa"/>
            <w:gridSpan w:val="2"/>
          </w:tcPr>
          <w:p w14:paraId="69F225CB" w14:textId="77777777" w:rsidR="003500AF" w:rsidRPr="006731FE" w:rsidRDefault="003500AF" w:rsidP="003500AF">
            <w:pPr>
              <w:spacing w:line="500" w:lineRule="exact"/>
              <w:rPr>
                <w:rFonts w:ascii="Arial" w:hAnsi="Arial" w:cs="Arial"/>
                <w:kern w:val="0"/>
                <w:szCs w:val="21"/>
              </w:rPr>
            </w:pPr>
            <w:r w:rsidRPr="006731FE">
              <w:rPr>
                <w:rFonts w:ascii="Arial" w:hAnsi="Arial" w:cs="Arial" w:hint="eastAsia"/>
                <w:kern w:val="0"/>
                <w:szCs w:val="21"/>
              </w:rPr>
              <w:t>□</w:t>
            </w:r>
            <w:r w:rsidRPr="006731FE">
              <w:rPr>
                <w:rFonts w:ascii="Arial" w:hAnsi="Arial" w:cs="Arial" w:hint="eastAsia"/>
                <w:kern w:val="0"/>
                <w:szCs w:val="21"/>
              </w:rPr>
              <w:t>3</w:t>
            </w:r>
            <w:r w:rsidRPr="006731FE">
              <w:rPr>
                <w:rFonts w:ascii="Arial" w:hAnsi="Arial" w:cs="Arial" w:hint="eastAsia"/>
                <w:kern w:val="0"/>
                <w:szCs w:val="21"/>
              </w:rPr>
              <w:t>、不在同一相关市场、也不存在上下游关系的参与集中的经营者，在与交易有关的每个市场所占的份额均小于</w:t>
            </w:r>
            <w:r w:rsidRPr="006731FE">
              <w:rPr>
                <w:rFonts w:ascii="Arial" w:hAnsi="Arial" w:cs="Arial" w:hint="eastAsia"/>
                <w:kern w:val="0"/>
                <w:szCs w:val="21"/>
              </w:rPr>
              <w:t>25%</w:t>
            </w:r>
            <w:r w:rsidRPr="006731FE">
              <w:rPr>
                <w:rFonts w:ascii="Arial" w:hAnsi="Arial" w:cs="Arial" w:hint="eastAsia"/>
                <w:kern w:val="0"/>
                <w:szCs w:val="21"/>
              </w:rPr>
              <w:t>。</w:t>
            </w:r>
          </w:p>
        </w:tc>
      </w:tr>
      <w:tr w:rsidR="003500AF" w:rsidRPr="006731FE" w14:paraId="4275858B" w14:textId="77777777" w:rsidTr="002F2D60">
        <w:trPr>
          <w:trHeight w:val="870"/>
        </w:trPr>
        <w:tc>
          <w:tcPr>
            <w:tcW w:w="1809" w:type="dxa"/>
            <w:vMerge/>
            <w:shd w:val="clear" w:color="auto" w:fill="D9D9D9"/>
          </w:tcPr>
          <w:p w14:paraId="7A775163" w14:textId="77777777" w:rsidR="003500AF" w:rsidRPr="006731FE" w:rsidRDefault="003500AF" w:rsidP="003500AF">
            <w:pPr>
              <w:spacing w:line="500" w:lineRule="exact"/>
              <w:rPr>
                <w:rFonts w:ascii="Arial" w:hAnsi="Arial" w:cs="Arial"/>
                <w:kern w:val="0"/>
                <w:szCs w:val="21"/>
              </w:rPr>
            </w:pPr>
          </w:p>
        </w:tc>
        <w:tc>
          <w:tcPr>
            <w:tcW w:w="6949" w:type="dxa"/>
            <w:gridSpan w:val="2"/>
          </w:tcPr>
          <w:p w14:paraId="4E7A3CA6" w14:textId="77777777" w:rsidR="003500AF" w:rsidRPr="006731FE" w:rsidRDefault="003500AF" w:rsidP="003500AF">
            <w:pPr>
              <w:spacing w:line="500" w:lineRule="exact"/>
              <w:rPr>
                <w:rFonts w:ascii="Arial" w:hAnsi="Arial" w:cs="Arial"/>
                <w:kern w:val="0"/>
                <w:szCs w:val="21"/>
              </w:rPr>
            </w:pPr>
            <w:r w:rsidRPr="006731FE">
              <w:rPr>
                <w:rFonts w:ascii="Arial" w:hAnsi="Arial" w:cs="Arial" w:hint="eastAsia"/>
                <w:kern w:val="0"/>
                <w:szCs w:val="21"/>
              </w:rPr>
              <w:t>□</w:t>
            </w:r>
            <w:r w:rsidRPr="006731FE">
              <w:rPr>
                <w:rFonts w:ascii="Arial" w:hAnsi="Arial" w:cs="Arial" w:hint="eastAsia"/>
                <w:kern w:val="0"/>
                <w:szCs w:val="21"/>
              </w:rPr>
              <w:t>4</w:t>
            </w:r>
            <w:r w:rsidRPr="006731FE">
              <w:rPr>
                <w:rFonts w:ascii="Arial" w:hAnsi="Arial" w:cs="Arial" w:hint="eastAsia"/>
                <w:kern w:val="0"/>
                <w:szCs w:val="21"/>
              </w:rPr>
              <w:t>、参与集中的经营者在中国境外设立合营企业，合营企业不在中国境内从事经济活动。</w:t>
            </w:r>
          </w:p>
        </w:tc>
      </w:tr>
      <w:tr w:rsidR="003500AF" w:rsidRPr="006731FE" w14:paraId="256240B4" w14:textId="77777777" w:rsidTr="002F2D60">
        <w:trPr>
          <w:trHeight w:val="264"/>
        </w:trPr>
        <w:tc>
          <w:tcPr>
            <w:tcW w:w="1809" w:type="dxa"/>
            <w:vMerge/>
            <w:shd w:val="clear" w:color="auto" w:fill="D9D9D9"/>
          </w:tcPr>
          <w:p w14:paraId="31910C26" w14:textId="77777777" w:rsidR="003500AF" w:rsidRPr="006731FE" w:rsidRDefault="003500AF" w:rsidP="003500AF">
            <w:pPr>
              <w:spacing w:line="500" w:lineRule="exact"/>
              <w:rPr>
                <w:rFonts w:ascii="Arial" w:hAnsi="Arial" w:cs="Arial"/>
                <w:kern w:val="0"/>
                <w:szCs w:val="21"/>
              </w:rPr>
            </w:pPr>
          </w:p>
        </w:tc>
        <w:tc>
          <w:tcPr>
            <w:tcW w:w="6949" w:type="dxa"/>
            <w:gridSpan w:val="2"/>
          </w:tcPr>
          <w:p w14:paraId="248BE1CD" w14:textId="5DFB5EF5" w:rsidR="003500AF" w:rsidRPr="006731FE" w:rsidRDefault="00634A38" w:rsidP="003500AF">
            <w:pPr>
              <w:spacing w:line="500" w:lineRule="exact"/>
              <w:rPr>
                <w:rFonts w:ascii="Arial" w:hAnsi="Arial" w:cs="Arial"/>
                <w:kern w:val="0"/>
                <w:szCs w:val="21"/>
              </w:rPr>
            </w:pPr>
            <w:r w:rsidRPr="006731FE">
              <w:rPr>
                <w:rFonts w:ascii="Arial" w:hAnsi="Arial" w:cs="Arial"/>
                <w:kern w:val="0"/>
                <w:szCs w:val="21"/>
              </w:rPr>
              <w:sym w:font="Wingdings" w:char="F0FE"/>
            </w:r>
            <w:r w:rsidR="003500AF" w:rsidRPr="006731FE">
              <w:rPr>
                <w:rFonts w:ascii="Arial" w:hAnsi="Arial" w:cs="Arial" w:hint="eastAsia"/>
                <w:kern w:val="0"/>
                <w:szCs w:val="21"/>
              </w:rPr>
              <w:t>5</w:t>
            </w:r>
            <w:r w:rsidR="003500AF" w:rsidRPr="006731FE">
              <w:rPr>
                <w:rFonts w:ascii="Arial" w:hAnsi="Arial" w:cs="Arial" w:hint="eastAsia"/>
                <w:kern w:val="0"/>
                <w:szCs w:val="21"/>
              </w:rPr>
              <w:t>、参与集中的经营者收购境外企业股权或资产的，该境外企业不在中国境内从事经济活动。</w:t>
            </w:r>
          </w:p>
        </w:tc>
      </w:tr>
      <w:tr w:rsidR="003500AF" w:rsidRPr="006731FE" w14:paraId="7ADE309F" w14:textId="77777777" w:rsidTr="002F2D60">
        <w:trPr>
          <w:trHeight w:val="345"/>
        </w:trPr>
        <w:tc>
          <w:tcPr>
            <w:tcW w:w="1809" w:type="dxa"/>
            <w:vMerge/>
            <w:shd w:val="clear" w:color="auto" w:fill="D9D9D9"/>
          </w:tcPr>
          <w:p w14:paraId="4558FAF4" w14:textId="77777777" w:rsidR="003500AF" w:rsidRPr="006731FE" w:rsidRDefault="003500AF" w:rsidP="003500AF">
            <w:pPr>
              <w:spacing w:line="500" w:lineRule="exact"/>
              <w:rPr>
                <w:rFonts w:ascii="Arial" w:hAnsi="Arial" w:cs="Arial"/>
                <w:kern w:val="0"/>
                <w:szCs w:val="21"/>
              </w:rPr>
            </w:pPr>
          </w:p>
        </w:tc>
        <w:tc>
          <w:tcPr>
            <w:tcW w:w="6949" w:type="dxa"/>
            <w:gridSpan w:val="2"/>
          </w:tcPr>
          <w:p w14:paraId="01A03A03" w14:textId="77777777" w:rsidR="003500AF" w:rsidRPr="006731FE" w:rsidRDefault="003500AF" w:rsidP="003500AF">
            <w:pPr>
              <w:spacing w:line="500" w:lineRule="exact"/>
              <w:rPr>
                <w:rFonts w:ascii="Arial" w:hAnsi="Arial" w:cs="Arial"/>
                <w:kern w:val="0"/>
                <w:szCs w:val="21"/>
              </w:rPr>
            </w:pPr>
            <w:r w:rsidRPr="006731FE">
              <w:rPr>
                <w:rFonts w:ascii="Arial" w:hAnsi="Arial" w:cs="Arial" w:hint="eastAsia"/>
                <w:kern w:val="0"/>
                <w:szCs w:val="21"/>
              </w:rPr>
              <w:t>□</w:t>
            </w:r>
            <w:r w:rsidRPr="006731FE">
              <w:rPr>
                <w:rFonts w:ascii="Arial" w:hAnsi="Arial" w:cs="Arial" w:hint="eastAsia"/>
                <w:kern w:val="0"/>
                <w:szCs w:val="21"/>
              </w:rPr>
              <w:t>6</w:t>
            </w:r>
            <w:r w:rsidRPr="006731FE">
              <w:rPr>
                <w:rFonts w:ascii="Arial" w:hAnsi="Arial" w:cs="Arial" w:hint="eastAsia"/>
                <w:kern w:val="0"/>
                <w:szCs w:val="21"/>
              </w:rPr>
              <w:t>、由两个以上的经营者共同控制的合营企业，通过集中被其中一个或一</w:t>
            </w:r>
            <w:r w:rsidRPr="006731FE">
              <w:rPr>
                <w:rFonts w:ascii="Arial" w:hAnsi="Arial" w:cs="Arial" w:hint="eastAsia"/>
                <w:kern w:val="0"/>
                <w:szCs w:val="21"/>
              </w:rPr>
              <w:lastRenderedPageBreak/>
              <w:t>个以上经营者控制。</w:t>
            </w:r>
          </w:p>
        </w:tc>
      </w:tr>
      <w:tr w:rsidR="003500AF" w:rsidRPr="006731FE" w14:paraId="685A1505" w14:textId="77777777" w:rsidTr="002F2D60">
        <w:tc>
          <w:tcPr>
            <w:tcW w:w="1809" w:type="dxa"/>
            <w:shd w:val="clear" w:color="auto" w:fill="D9D9D9"/>
          </w:tcPr>
          <w:p w14:paraId="38FC320F" w14:textId="77777777" w:rsidR="003500AF" w:rsidRPr="006731FE" w:rsidRDefault="003500AF" w:rsidP="003500AF">
            <w:pPr>
              <w:spacing w:line="500" w:lineRule="exact"/>
              <w:rPr>
                <w:rFonts w:ascii="Arial" w:hAnsi="Arial" w:cs="Arial"/>
                <w:kern w:val="0"/>
                <w:szCs w:val="21"/>
              </w:rPr>
            </w:pPr>
            <w:r w:rsidRPr="006731FE">
              <w:rPr>
                <w:rFonts w:ascii="Arial" w:hAnsi="Arial" w:cs="Arial" w:hint="eastAsia"/>
                <w:kern w:val="0"/>
                <w:szCs w:val="21"/>
              </w:rPr>
              <w:lastRenderedPageBreak/>
              <w:t>备注</w:t>
            </w:r>
          </w:p>
        </w:tc>
        <w:tc>
          <w:tcPr>
            <w:tcW w:w="6949" w:type="dxa"/>
            <w:gridSpan w:val="2"/>
          </w:tcPr>
          <w:p w14:paraId="3E1936DA" w14:textId="055D9E16" w:rsidR="003500AF" w:rsidRPr="006731FE" w:rsidRDefault="00634A38" w:rsidP="003500AF">
            <w:pPr>
              <w:spacing w:line="500" w:lineRule="exact"/>
              <w:rPr>
                <w:rFonts w:ascii="Arial" w:hAnsi="Arial" w:cs="Arial"/>
                <w:kern w:val="0"/>
                <w:szCs w:val="21"/>
              </w:rPr>
            </w:pPr>
            <w:r w:rsidRPr="006731FE">
              <w:rPr>
                <w:rFonts w:ascii="Arial" w:hAnsi="Arial" w:cs="Arial" w:hint="eastAsia"/>
                <w:kern w:val="0"/>
                <w:szCs w:val="21"/>
              </w:rPr>
              <w:t>不适用</w:t>
            </w:r>
          </w:p>
        </w:tc>
      </w:tr>
    </w:tbl>
    <w:p w14:paraId="60F420D5" w14:textId="77777777" w:rsidR="00F87C1F" w:rsidRDefault="00F87C1F"/>
    <w:sectPr w:rsidR="00F87C1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1B3C" w14:textId="77777777" w:rsidR="0029549A" w:rsidRDefault="0029549A" w:rsidP="00094095">
      <w:r>
        <w:separator/>
      </w:r>
    </w:p>
  </w:endnote>
  <w:endnote w:type="continuationSeparator" w:id="0">
    <w:p w14:paraId="43B7ACD9" w14:textId="77777777" w:rsidR="0029549A" w:rsidRDefault="0029549A"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46365" w14:textId="77777777" w:rsidR="0029549A" w:rsidRDefault="0029549A" w:rsidP="00094095">
      <w:r>
        <w:separator/>
      </w:r>
    </w:p>
  </w:footnote>
  <w:footnote w:type="continuationSeparator" w:id="0">
    <w:p w14:paraId="41CFBB5F" w14:textId="77777777" w:rsidR="0029549A" w:rsidRDefault="0029549A" w:rsidP="0009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oNotTrackMoves/>
  <w:doNotTrackFormatting/>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95"/>
    <w:rsid w:val="00025EEE"/>
    <w:rsid w:val="00091197"/>
    <w:rsid w:val="00094095"/>
    <w:rsid w:val="001447AC"/>
    <w:rsid w:val="00192221"/>
    <w:rsid w:val="001C4B6D"/>
    <w:rsid w:val="00245776"/>
    <w:rsid w:val="0029549A"/>
    <w:rsid w:val="002A00AD"/>
    <w:rsid w:val="002A3524"/>
    <w:rsid w:val="002E2E29"/>
    <w:rsid w:val="002F2D60"/>
    <w:rsid w:val="00307976"/>
    <w:rsid w:val="003500AF"/>
    <w:rsid w:val="003C062C"/>
    <w:rsid w:val="00452E52"/>
    <w:rsid w:val="00462174"/>
    <w:rsid w:val="004B7519"/>
    <w:rsid w:val="004D09F4"/>
    <w:rsid w:val="005F167B"/>
    <w:rsid w:val="00606EEB"/>
    <w:rsid w:val="00634A38"/>
    <w:rsid w:val="006731FE"/>
    <w:rsid w:val="008266EA"/>
    <w:rsid w:val="00931CFD"/>
    <w:rsid w:val="00974DAB"/>
    <w:rsid w:val="00AB6C08"/>
    <w:rsid w:val="00B354A7"/>
    <w:rsid w:val="00B955F5"/>
    <w:rsid w:val="00BA0750"/>
    <w:rsid w:val="00BB2377"/>
    <w:rsid w:val="00C9068E"/>
    <w:rsid w:val="00D21777"/>
    <w:rsid w:val="00D67DD5"/>
    <w:rsid w:val="00DB1CA2"/>
    <w:rsid w:val="00DC3A79"/>
    <w:rsid w:val="00E56A09"/>
    <w:rsid w:val="00E677B7"/>
    <w:rsid w:val="00E87220"/>
    <w:rsid w:val="00EC31FB"/>
    <w:rsid w:val="00ED21B1"/>
    <w:rsid w:val="00F327D9"/>
    <w:rsid w:val="00F5550E"/>
    <w:rsid w:val="00F87C1F"/>
    <w:rsid w:val="00FF4772"/>
  </w:rsids>
  <m:mathPr>
    <m:mathFont m:val="Cambria Math"/>
    <m:brkBin m:val="before"/>
    <m:brkBinSub m:val="--"/>
    <m:smallFrac/>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1476C113"/>
  <w15:docId w15:val="{477D0B47-C750-4CD8-930C-EA56B328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95"/>
    <w:pPr>
      <w:widowControl w:val="0"/>
      <w:jc w:val="both"/>
    </w:pPr>
    <w:rPr>
      <w:kern w:val="2"/>
      <w:sz w:val="21"/>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94095"/>
    <w:pPr>
      <w:snapToGrid w:val="0"/>
      <w:jc w:val="left"/>
    </w:pPr>
  </w:style>
  <w:style w:type="character" w:customStyle="1" w:styleId="EndnoteTextChar">
    <w:name w:val="Endnote Text Char"/>
    <w:basedOn w:val="DefaultParagraphFont"/>
    <w:link w:val="EndnoteText"/>
    <w:uiPriority w:val="99"/>
    <w:semiHidden/>
    <w:rsid w:val="00094095"/>
  </w:style>
  <w:style w:type="character" w:styleId="EndnoteReference">
    <w:name w:val="endnote reference"/>
    <w:uiPriority w:val="99"/>
    <w:semiHidden/>
    <w:unhideWhenUsed/>
    <w:rsid w:val="00094095"/>
    <w:rPr>
      <w:vertAlign w:val="superscript"/>
    </w:rPr>
  </w:style>
  <w:style w:type="paragraph" w:styleId="Header">
    <w:name w:val="header"/>
    <w:basedOn w:val="Normal"/>
    <w:link w:val="HeaderChar"/>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21777"/>
    <w:rPr>
      <w:sz w:val="18"/>
      <w:szCs w:val="18"/>
    </w:rPr>
  </w:style>
  <w:style w:type="paragraph" w:styleId="Footer">
    <w:name w:val="footer"/>
    <w:basedOn w:val="Normal"/>
    <w:link w:val="FooterChar"/>
    <w:uiPriority w:val="99"/>
    <w:unhideWhenUsed/>
    <w:rsid w:val="00D21777"/>
    <w:pPr>
      <w:tabs>
        <w:tab w:val="center" w:pos="4153"/>
        <w:tab w:val="right" w:pos="8306"/>
      </w:tabs>
      <w:snapToGrid w:val="0"/>
      <w:jc w:val="left"/>
    </w:pPr>
    <w:rPr>
      <w:sz w:val="18"/>
      <w:szCs w:val="18"/>
    </w:rPr>
  </w:style>
  <w:style w:type="character" w:customStyle="1" w:styleId="FooterChar">
    <w:name w:val="Footer Char"/>
    <w:link w:val="Footer"/>
    <w:uiPriority w:val="99"/>
    <w:rsid w:val="00D21777"/>
    <w:rPr>
      <w:sz w:val="18"/>
      <w:szCs w:val="18"/>
    </w:rPr>
  </w:style>
  <w:style w:type="paragraph" w:styleId="ListParagraph">
    <w:name w:val="List Paragraph"/>
    <w:basedOn w:val="Normal"/>
    <w:link w:val="ListParagraphChar"/>
    <w:uiPriority w:val="34"/>
    <w:qFormat/>
    <w:rsid w:val="00B354A7"/>
    <w:pPr>
      <w:ind w:left="720"/>
      <w:contextualSpacing/>
    </w:pPr>
  </w:style>
  <w:style w:type="character" w:customStyle="1" w:styleId="ListParagraphChar">
    <w:name w:val="List Paragraph Char"/>
    <w:link w:val="ListParagraph"/>
    <w:uiPriority w:val="34"/>
    <w:rsid w:val="00DC3A79"/>
    <w:rPr>
      <w:kern w:val="2"/>
      <w:sz w:val="21"/>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21BF-9B9D-4132-8D63-ED3FEFF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350</Words>
  <Characters>382</Characters>
  <Application>Microsoft Office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Any Authorised User</cp:lastModifiedBy>
  <cp:revision>23</cp:revision>
  <cp:lastPrinted>2014-10-08T02:48:00Z</cp:lastPrinted>
  <dcterms:created xsi:type="dcterms:W3CDTF">2014-10-08T03:52:00Z</dcterms:created>
  <dcterms:modified xsi:type="dcterms:W3CDTF">2021-12-16T15:53:00Z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ment Number">
    <vt:lpwstr/>
  </op:property>
  <op:property fmtid="{D5CDD505-2E9C-101B-9397-08002B2CF9AE}" pid="3" name="Version">
    <vt:lpwstr/>
  </op:property>
  <op:property fmtid="{D5CDD505-2E9C-101B-9397-08002B2CF9AE}" pid="4" name="Last Modified">
    <vt:lpwstr/>
  </op:property>
  <op:property fmtid="{D5CDD505-2E9C-101B-9397-08002B2CF9AE}" pid="5" name="Matter Number">
    <vt:lpwstr/>
  </op:property>
  <op:property fmtid="{D5CDD505-2E9C-101B-9397-08002B2CF9AE}" pid="6" name="Client Code">
    <vt:lpwstr/>
  </op:property>
  <op:property fmtid="{D5CDD505-2E9C-101B-9397-08002B2CF9AE}" pid="7" name="Mode">
    <vt:lpwstr>Export</vt:lpwstr>
  </op:property>
  <op:property fmtid="{D5CDD505-2E9C-101B-9397-08002B2CF9AE}" pid="8" name="DEDocumentLocation">
    <vt:lpwstr>C:\Users\szqian\Work Folders\AFIG Trainee\OTPP-Paris\安大略省教师退休基金会委员会收购绿色气候有限公司股权案经营者集中申报材料\安大略省教师退休基金会委员会收购绿色气候有限公司股权案申报材料（非保密版）\公示表.docx</vt:lpwstr>
  </op:property>
  <op:property fmtid="{D5CDD505-2E9C-101B-9397-08002B2CF9AE}" pid="9" name="ObjectID">
    <vt:lpwstr/>
  </op:property>
</op:Properties>
</file>