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auto"/>
          <w:kern w:val="2"/>
          <w:sz w:val="52"/>
          <w:szCs w:val="52"/>
        </w:rPr>
      </w:pPr>
      <w:r>
        <w:rPr>
          <w:rFonts w:hint="default" w:ascii="Times New Roman" w:hAnsi="Times New Roman" w:eastAsia="黑体" w:cs="Times New Roman"/>
          <w:bCs/>
          <w:color w:val="auto"/>
          <w:spacing w:val="30"/>
          <w:kern w:val="0"/>
          <w:sz w:val="52"/>
          <w:szCs w:val="52"/>
          <w:fitText w:val="5742" w:id="927163184"/>
        </w:rPr>
        <w:t>国家市场监督管理总</w:t>
      </w:r>
      <w:r>
        <w:rPr>
          <w:rFonts w:hint="default" w:ascii="Times New Roman" w:hAnsi="Times New Roman" w:eastAsia="黑体" w:cs="Times New Roman"/>
          <w:bCs/>
          <w:color w:val="auto"/>
          <w:spacing w:val="1"/>
          <w:kern w:val="0"/>
          <w:sz w:val="52"/>
          <w:szCs w:val="52"/>
          <w:fitText w:val="5742" w:id="927163184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  <w:color w:val="auto"/>
          <w:spacing w:val="175"/>
          <w:kern w:val="0"/>
          <w:sz w:val="52"/>
          <w:szCs w:val="52"/>
          <w:fitText w:val="5742" w:id="1"/>
        </w:rPr>
        <w:t>行政处罚决定</w:t>
      </w:r>
      <w:r>
        <w:rPr>
          <w:rFonts w:hint="default" w:ascii="Times New Roman" w:hAnsi="Times New Roman" w:eastAsia="黑体" w:cs="Times New Roman"/>
          <w:bCs/>
          <w:color w:val="auto"/>
          <w:spacing w:val="1"/>
          <w:kern w:val="0"/>
          <w:sz w:val="52"/>
          <w:szCs w:val="52"/>
          <w:fitText w:val="5742" w:id="1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国市监处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/>
        </w:rPr>
        <w:t>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〕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/>
        </w:rPr>
        <w:t>118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28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当事人：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三花控股集团有限公司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after="0" w:line="594" w:lineRule="exact"/>
        <w:ind w:firstLine="628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住  所：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浙江省绍兴市新昌县七星街道下礼泉村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after="0" w:line="594" w:lineRule="exact"/>
        <w:ind w:firstLine="628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28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根据《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反垄断法》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（以下简称《反垄断法》）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《经营者集中审查暂行规定》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，本机关于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2021年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对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三花控股集团有限公司</w:t>
      </w:r>
      <w:r>
        <w:rPr>
          <w:rFonts w:hint="default" w:ascii="Times New Roman" w:hAnsi="Times New Roman" w:eastAsia="仿宋_GB2312" w:cs="Times New Roman"/>
          <w:sz w:val="32"/>
        </w:rPr>
        <w:t>（以下简称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三花集团</w:t>
      </w:r>
      <w:r>
        <w:rPr>
          <w:rFonts w:hint="default" w:ascii="Times New Roman" w:hAnsi="Times New Roman" w:eastAsia="仿宋_GB2312" w:cs="Times New Roman"/>
          <w:sz w:val="32"/>
        </w:rPr>
        <w:t>）收购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北京威卡威汽车零部件股份有限公司</w:t>
      </w:r>
      <w:r>
        <w:rPr>
          <w:rFonts w:hint="default" w:ascii="Times New Roman" w:hAnsi="Times New Roman" w:eastAsia="仿宋_GB2312" w:cs="Times New Roman"/>
          <w:sz w:val="32"/>
        </w:rPr>
        <w:t>（以下简称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威卡威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有关业务</w:t>
      </w:r>
      <w:r>
        <w:rPr>
          <w:rFonts w:hint="default" w:ascii="Times New Roman" w:hAnsi="Times New Roman" w:eastAsia="仿宋_GB2312" w:cs="Times New Roman"/>
          <w:sz w:val="32"/>
        </w:rPr>
        <w:t>涉嫌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未依法申报</w:t>
      </w:r>
      <w:r>
        <w:rPr>
          <w:rFonts w:hint="default" w:ascii="Times New Roman" w:hAnsi="Times New Roman" w:eastAsia="仿宋_GB2312" w:cs="Times New Roman"/>
          <w:sz w:val="32"/>
        </w:rPr>
        <w:t>经营者集中案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进行立案调查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bidi w:val="0"/>
        <w:adjustRightInd w:val="0"/>
        <w:snapToGrid/>
        <w:spacing w:before="0" w:beforeAutospacing="0" w:afterAutospacing="0" w:line="594" w:lineRule="exact"/>
        <w:ind w:left="0" w:right="0" w:firstLine="628" w:firstLineChars="20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经查，该案构成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未依法申报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违法实施经营者集中，但不具有排除、限制竞争的效果。本机关按照《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行政处罚法》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（以下简称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《行政处罚法》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的规定，向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三花集团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送达了《行政处罚告知书》，告知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当事人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拟作出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行政处罚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内容及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事实、理由、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依据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，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并告知当事人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依法享有的陈述、申辩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要求听证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权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利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三花集团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在规定期限内没有提出陈述、申辩意见或要求举行听证。本案现已调查、审理终结。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28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</w:rPr>
        <w:t>（一）交易方。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pacing w:line="594" w:lineRule="exact"/>
        <w:ind w:left="0" w:leftChars="0" w:firstLine="628" w:firstLineChars="200"/>
        <w:textAlignment w:val="auto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收购方：三花集团。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2000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月于浙江省绍兴市注册成立，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最终控制人为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略）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，主营业务包括制冷空调家电控制部件、汽车热管理控制部件和金融资本与投资业务，</w:t>
      </w:r>
      <w:r>
        <w:rPr>
          <w:rFonts w:hint="default" w:ascii="Times New Roman" w:hAnsi="Times New Roman" w:eastAsia="仿宋_GB2312" w:cs="Times New Roman"/>
          <w:bCs w:val="0"/>
          <w:sz w:val="32"/>
          <w:szCs w:val="22"/>
          <w:lang w:val="en-US" w:eastAsia="zh-CN"/>
        </w:rPr>
        <w:t>2017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年全球营业额为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略）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人民币（币种下同），中国境内营业额为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略）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pacing w:line="594" w:lineRule="exact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被收购方：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pacing w:line="594" w:lineRule="exact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1.宁波福尔达智能科技有限公司（以下简称福尔达）。</w:t>
      </w:r>
      <w:r>
        <w:rPr>
          <w:rFonts w:hint="default" w:ascii="Times New Roman" w:hAnsi="Times New Roman" w:eastAsia="仿宋_GB2312" w:cs="Times New Roman"/>
          <w:bCs w:val="0"/>
          <w:sz w:val="32"/>
          <w:szCs w:val="22"/>
          <w:lang w:val="en-US" w:eastAsia="zh-CN"/>
        </w:rPr>
        <w:t>1995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Cs w:val="0"/>
          <w:sz w:val="32"/>
          <w:szCs w:val="2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月于浙江省慈溪市注册成立，是威卡威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全资子公司,主营业务为汽车智能电子产品研发、生产和销售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。福尔达</w:t>
      </w:r>
      <w:r>
        <w:rPr>
          <w:rFonts w:hint="default" w:ascii="Times New Roman" w:hAnsi="Times New Roman" w:eastAsia="仿宋_GB2312" w:cs="Times New Roman"/>
          <w:bCs w:val="0"/>
          <w:sz w:val="32"/>
          <w:szCs w:val="22"/>
          <w:lang w:val="en-US" w:eastAsia="zh-CN"/>
        </w:rPr>
        <w:t>2017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年全球营业额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略）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，中国境内营业额为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略）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pacing w:line="594" w:lineRule="exact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2.上海福宇龙汽车科技有限公司（以下简称福宇龙）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Cs w:val="0"/>
          <w:sz w:val="32"/>
          <w:szCs w:val="22"/>
          <w:lang w:val="en-US" w:eastAsia="zh-CN"/>
        </w:rPr>
        <w:t>2008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Cs w:val="0"/>
          <w:sz w:val="32"/>
          <w:szCs w:val="2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月于上海市注册成立，是威卡威的全资子公司，主营业务为汽车零部件以及内饰件的设计、生产和销售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。福宇龙</w:t>
      </w:r>
      <w:r>
        <w:rPr>
          <w:rFonts w:hint="default" w:ascii="Times New Roman" w:hAnsi="Times New Roman" w:eastAsia="仿宋_GB2312" w:cs="Times New Roman"/>
          <w:bCs w:val="0"/>
          <w:sz w:val="32"/>
          <w:szCs w:val="22"/>
          <w:lang w:val="en-US" w:eastAsia="zh-CN"/>
        </w:rPr>
        <w:t>2017年全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球营业额为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略）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，中国境内营业额为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略）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pacing w:line="594" w:lineRule="exact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目标公司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原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股东：威卡威。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2002年7月于北京市注册成立，2012年3月在深圳证券交易所上市，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最终控制人为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略）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，主营业务为汽车内外饰零部件的研发、生产和销售，2017年全球营业额为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略）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，中国境内营业额为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略）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。交易前，持有福尔达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福宇龙100%股权。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</w:rPr>
        <w:t>（二）交易概况。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本交易系股权收购。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日，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三花集团与威卡威签署《股权转让协议》，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分别以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略）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收购威卡威持有的福尔达、福宇龙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100%股权。交易于2018年8月前完成交割。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二、违法事实及理由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</w:rPr>
        <w:t>（一）本案构成</w:t>
      </w:r>
      <w:r>
        <w:rPr>
          <w:rFonts w:hint="eastAsia" w:eastAsia="楷体_GB2312" w:cs="Times New Roman"/>
          <w:b w:val="0"/>
          <w:bCs w:val="0"/>
          <w:color w:val="auto"/>
          <w:kern w:val="2"/>
          <w:sz w:val="32"/>
          <w:szCs w:val="32"/>
          <w:lang w:eastAsia="zh-CN"/>
        </w:rPr>
        <w:t>未依法申报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</w:rPr>
        <w:t>违法实施的经营者集中。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《反垄断法》第二十条规定“经营者集中是指下列情形：（一）经营者合并；（二）经营者通过取得股权或者资产的方式取得对其他经营者的控制权；（三）经营者通过合同等方式取得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对其他经营者的控制权或者能够对其他经营者施加决定性影响”。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该交易系股权收购，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三花集团取得福尔达、福宇龙100%股权，并取得</w:t>
      </w:r>
      <w:r>
        <w:rPr>
          <w:rFonts w:hint="default" w:ascii="Times New Roman" w:hAnsi="Times New Roman" w:eastAsia="仿宋_GB2312" w:cs="Times New Roman"/>
          <w:bCs/>
          <w:sz w:val="32"/>
          <w:szCs w:val="36"/>
          <w:lang w:eastAsia="zh-CN"/>
        </w:rPr>
        <w:t>单独</w:t>
      </w:r>
      <w:r>
        <w:rPr>
          <w:rFonts w:hint="default" w:ascii="Times New Roman" w:hAnsi="Times New Roman" w:eastAsia="仿宋_GB2312" w:cs="Times New Roman"/>
          <w:bCs/>
          <w:sz w:val="32"/>
          <w:szCs w:val="36"/>
        </w:rPr>
        <w:t>控制权</w:t>
      </w:r>
      <w:r>
        <w:rPr>
          <w:rFonts w:hint="default" w:ascii="Times New Roman" w:hAnsi="Times New Roman" w:eastAsia="仿宋_GB2312" w:cs="Times New Roman"/>
          <w:bCs/>
          <w:sz w:val="32"/>
          <w:szCs w:val="36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Cs/>
          <w:sz w:val="32"/>
          <w:szCs w:val="36"/>
          <w:lang w:val="en-US" w:eastAsia="zh-CN"/>
        </w:rPr>
        <w:t>属于</w:t>
      </w:r>
      <w:r>
        <w:rPr>
          <w:rFonts w:hint="default" w:ascii="Times New Roman" w:hAnsi="Times New Roman" w:eastAsia="仿宋_GB2312" w:cs="Times New Roman"/>
          <w:bCs/>
          <w:sz w:val="32"/>
          <w:szCs w:val="36"/>
          <w:lang w:eastAsia="zh-CN"/>
        </w:rPr>
        <w:t>《反垄断法》第二十条规定的经营者集中。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94" w:lineRule="exact"/>
        <w:ind w:left="0" w:firstLine="628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u w:val="none"/>
          <w:lang w:val="en-US" w:eastAsia="zh-CN" w:bidi="ar-SA"/>
        </w:rPr>
        <w:t>三花集团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2017年全球营业额为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略）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，中国境内营业额为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略）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；福尔达2017年全球营业额为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略）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，中国境内营业额为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略）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福宇龙2017年全球营业额为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略）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，中国境内营业额为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略）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因此，交易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u w:val="none"/>
          <w:lang w:val="en-US" w:eastAsia="zh-CN" w:bidi="ar-SA"/>
        </w:rPr>
        <w:t>达到《国务院关于经营者集中申报标准的规定》第三条规定的申报标准，属于应当申报的情形。</w:t>
      </w:r>
    </w:p>
    <w:p>
      <w:pPr>
        <w:pStyle w:val="5"/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before="0" w:beforeAutospacing="0" w:after="0" w:afterAutospacing="0"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《反垄断法》第二十一条规定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营者集中达到国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务院规定的申报标准的，经营者应当事先向国务院反垄断执法机构申报，未申报的不得实施集中”。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2018年7月27日，福尔达完成股权变更登记；2018年8月2日，福宇龙完成股权变更登记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</w:rPr>
        <w:t>在此之前未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eastAsia="zh-CN"/>
        </w:rPr>
        <w:t>依法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</w:rPr>
        <w:t>申报，违反《反垄断法》第二十一条，构成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eastAsia="zh-CN"/>
        </w:rPr>
        <w:t>未依法申报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</w:rPr>
        <w:t>违法实施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的经营者集中。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</w:rPr>
        <w:t>（二）本案不具有排除、限制竞争的效果。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28" w:firstLineChars="200"/>
        <w:textAlignment w:val="auto"/>
        <w:outlineLvl w:val="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本机关就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三花集团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收购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威卡威有关业务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对市场竞争的影响进行了评估，评估认为，该项经营者集中不会产生排除、限制竞争的效果。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三、行政处罚依据和决定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16" w:firstLineChars="196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《反垄断法》第四十八条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eastAsia="zh-CN"/>
        </w:rPr>
        <w:t>规定“经营者违反本法规定实施集中的，由国务院反垄断执法机构责令停止实施集中、限期处分股份或者资产、限期转让营业以及采取其他必要措施恢复到集中前的状态，可以处五十万元以下的罚款”。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《反垄断法》第四十九条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eastAsia="zh-CN"/>
        </w:rPr>
        <w:t>规定“对本法第四十六条、第四十七条、第四十八条规定的罚款，反垄断执法机构确定具体罚款数额时，应当考虑违法行为的性质、程度和持续的时间等因素”。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eastAsia="zh-CN"/>
        </w:rPr>
        <w:t>上述规定，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基于调查情况和评估结论，本机关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eastAsia="zh-CN"/>
        </w:rPr>
        <w:t>决定给予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/>
        </w:rPr>
        <w:t>三花集团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0万元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eastAsia="zh-CN"/>
        </w:rPr>
        <w:t>罚款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的行政处罚。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《行政处罚法》第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六十七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条规定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“作出罚款决定的行政机关应当与收缴罚款的机构分离。除依照本法第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六十八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条、第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六十九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条的规定当场收缴的罚款外，作出行政处罚决定的行政机关及其执法人员不得自行收缴罚款。当事人应当自收到行政处罚决定书之日起十五日内，到指定的银行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或者通过电子支付系统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缴纳罚款。银行应当收受罚款，并将罚款直接上缴国库”。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当事人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应当自收到本行政处罚决定书之日起十五日内，携缴款码到1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家中央财政非税收入收缴代理银行（工、农、中、建、交、中信、光大、招商、邮储、华夏、平安、兴业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、民生、广发、浙商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）任一银行网点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网上银行交纳罚款。缴款码：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略）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当事人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 xml:space="preserve">如对上述行政处罚决定不服，可以自收到本行政处罚决定书之日起六十日内，向国家市场监督管理总局申请行政复议；或者自收到本行政处罚决定书之日起六个月内，依法向人民法院提起行政诉讼。行政复议或者行政诉讼期间，本行政处罚决定不停止执行。 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after="0" w:line="594" w:lineRule="exact"/>
        <w:textAlignment w:val="auto"/>
        <w:rPr>
          <w:rFonts w:hint="default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94" w:lineRule="exact"/>
        <w:ind w:firstLine="5433" w:firstLineChars="173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市场监管总局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94" w:lineRule="exact"/>
        <w:ind w:firstLine="5225" w:firstLineChars="1664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月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28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（此件公开发布）</w:t>
      </w:r>
    </w:p>
    <w:sectPr>
      <w:footerReference r:id="rId3" w:type="default"/>
      <w:footerReference r:id="rId4" w:type="even"/>
      <w:pgSz w:w="11906" w:h="16838"/>
      <w:pgMar w:top="1440" w:right="1803" w:bottom="1440" w:left="1803" w:header="851" w:footer="1814" w:gutter="0"/>
      <w:cols w:space="0" w:num="1"/>
      <w:rtlGutter w:val="0"/>
      <w:docGrid w:type="linesAndChars" w:linePitch="290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570B1"/>
    <w:rsid w:val="0023200C"/>
    <w:rsid w:val="05D15580"/>
    <w:rsid w:val="075F674C"/>
    <w:rsid w:val="09AC08F5"/>
    <w:rsid w:val="105070ED"/>
    <w:rsid w:val="13F85EFD"/>
    <w:rsid w:val="16430222"/>
    <w:rsid w:val="16657401"/>
    <w:rsid w:val="169767E4"/>
    <w:rsid w:val="173B2FCB"/>
    <w:rsid w:val="18DB1E51"/>
    <w:rsid w:val="192053EE"/>
    <w:rsid w:val="1A156921"/>
    <w:rsid w:val="1B095395"/>
    <w:rsid w:val="1C11264C"/>
    <w:rsid w:val="1D3570B1"/>
    <w:rsid w:val="1ED67F29"/>
    <w:rsid w:val="1F573D93"/>
    <w:rsid w:val="21623065"/>
    <w:rsid w:val="21A54411"/>
    <w:rsid w:val="239A0124"/>
    <w:rsid w:val="265326DA"/>
    <w:rsid w:val="28C8606C"/>
    <w:rsid w:val="29171A1E"/>
    <w:rsid w:val="2A7A6DC6"/>
    <w:rsid w:val="2B0F6D0F"/>
    <w:rsid w:val="2C45017C"/>
    <w:rsid w:val="31E778A8"/>
    <w:rsid w:val="33B94AAA"/>
    <w:rsid w:val="33E16394"/>
    <w:rsid w:val="38043EF0"/>
    <w:rsid w:val="39E75B24"/>
    <w:rsid w:val="3A62479F"/>
    <w:rsid w:val="3D086E74"/>
    <w:rsid w:val="3FAD2E94"/>
    <w:rsid w:val="4297136E"/>
    <w:rsid w:val="44F1186A"/>
    <w:rsid w:val="48A63464"/>
    <w:rsid w:val="48C67004"/>
    <w:rsid w:val="49513DE5"/>
    <w:rsid w:val="49F75885"/>
    <w:rsid w:val="4ABC40B8"/>
    <w:rsid w:val="4EF957B9"/>
    <w:rsid w:val="4EFD73AF"/>
    <w:rsid w:val="51075873"/>
    <w:rsid w:val="52A77C54"/>
    <w:rsid w:val="5A3853F1"/>
    <w:rsid w:val="5BDD2331"/>
    <w:rsid w:val="5C686AC3"/>
    <w:rsid w:val="5D4E6DD5"/>
    <w:rsid w:val="60B36F71"/>
    <w:rsid w:val="630535E1"/>
    <w:rsid w:val="63432760"/>
    <w:rsid w:val="640E6FE8"/>
    <w:rsid w:val="68197930"/>
    <w:rsid w:val="686D740E"/>
    <w:rsid w:val="69936D32"/>
    <w:rsid w:val="6A564164"/>
    <w:rsid w:val="6F712D0C"/>
    <w:rsid w:val="7073388E"/>
    <w:rsid w:val="74782380"/>
    <w:rsid w:val="799607CC"/>
    <w:rsid w:val="799C3559"/>
    <w:rsid w:val="7A782B89"/>
    <w:rsid w:val="7D64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3">
    <w:name w:val="Normal Indent"/>
    <w:basedOn w:val="1"/>
    <w:qFormat/>
    <w:uiPriority w:val="0"/>
    <w:pPr>
      <w:spacing w:line="360" w:lineRule="exact"/>
      <w:ind w:firstLine="420" w:firstLineChars="20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内容"/>
    <w:basedOn w:val="1"/>
    <w:qFormat/>
    <w:uiPriority w:val="0"/>
    <w:pPr>
      <w:suppressAutoHyphens/>
      <w:overflowPunct w:val="0"/>
      <w:autoSpaceDE w:val="0"/>
      <w:autoSpaceDN w:val="0"/>
      <w:adjustRightInd w:val="0"/>
      <w:spacing w:line="360" w:lineRule="auto"/>
      <w:ind w:firstLine="200" w:firstLineChars="200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2020-12-10T02:26:00Z</dcterms:created>
  <dc:creator>徐霄飞</dc:creator>
  <cp:lastModifiedBy>张宝成</cp:lastModifiedBy>
  <cp:lastPrinted>2021-07-02T06:21:00Z</cp:lastPrinted>
  <dcterms:modified xsi:type="dcterms:W3CDTF">2021-12-28T07:49:49Z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