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auto"/>
          <w:kern w:val="2"/>
          <w:sz w:val="52"/>
          <w:szCs w:val="52"/>
        </w:rPr>
      </w:pPr>
      <w:r>
        <w:rPr>
          <w:rFonts w:hint="default" w:ascii="Times New Roman" w:hAnsi="Times New Roman" w:eastAsia="黑体" w:cs="Times New Roman"/>
          <w:bCs/>
          <w:color w:val="auto"/>
          <w:spacing w:val="30"/>
          <w:kern w:val="0"/>
          <w:sz w:val="52"/>
          <w:szCs w:val="52"/>
          <w:fitText w:val="5742" w:id="927163184"/>
        </w:rPr>
        <w:t>国家市场监督管理总</w:t>
      </w:r>
      <w:r>
        <w:rPr>
          <w:rFonts w:hint="default" w:ascii="Times New Roman" w:hAnsi="Times New Roman" w:eastAsia="黑体" w:cs="Times New Roman"/>
          <w:bCs/>
          <w:color w:val="auto"/>
          <w:spacing w:val="1"/>
          <w:kern w:val="0"/>
          <w:sz w:val="52"/>
          <w:szCs w:val="52"/>
          <w:fitText w:val="5742" w:id="92716318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color w:val="auto"/>
          <w:spacing w:val="175"/>
          <w:kern w:val="0"/>
          <w:sz w:val="52"/>
          <w:szCs w:val="52"/>
          <w:fitText w:val="5742" w:id="1"/>
        </w:rPr>
        <w:t>行政处罚决定</w:t>
      </w:r>
      <w:r>
        <w:rPr>
          <w:rFonts w:hint="default" w:ascii="Times New Roman" w:hAnsi="Times New Roman" w:eastAsia="黑体" w:cs="Times New Roman"/>
          <w:bCs/>
          <w:color w:val="auto"/>
          <w:spacing w:val="1"/>
          <w:kern w:val="0"/>
          <w:sz w:val="52"/>
          <w:szCs w:val="52"/>
          <w:fitText w:val="5742" w:id="1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国市监处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〔202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〕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118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当事人：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三花控股集团有限公司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住  所：</w:t>
      </w: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浙江省绍兴市新昌县七星街道下礼泉村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根据《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中华人民共和国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反垄断法》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（以下简称《反垄断法》）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《经营者集中审查暂行规定》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，本机关于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对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三花控股集团有限公司</w:t>
      </w:r>
      <w:r>
        <w:rPr>
          <w:rFonts w:hint="default" w:ascii="Times New Roman" w:hAnsi="Times New Roman" w:eastAsia="仿宋_GB2312" w:cs="Times New Roman"/>
          <w:sz w:val="32"/>
        </w:rPr>
        <w:t>（以下简称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三花集团</w:t>
      </w:r>
      <w:r>
        <w:rPr>
          <w:rFonts w:hint="default" w:ascii="Times New Roman" w:hAnsi="Times New Roman" w:eastAsia="仿宋_GB2312" w:cs="Times New Roman"/>
          <w:sz w:val="32"/>
        </w:rPr>
        <w:t>）收购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北京威卡威汽车零部件股份有限公司</w:t>
      </w:r>
      <w:r>
        <w:rPr>
          <w:rFonts w:hint="default" w:ascii="Times New Roman" w:hAnsi="Times New Roman" w:eastAsia="仿宋_GB2312" w:cs="Times New Roman"/>
          <w:sz w:val="32"/>
        </w:rPr>
        <w:t>（以下简称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威卡威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有关业务</w:t>
      </w:r>
      <w:r>
        <w:rPr>
          <w:rFonts w:hint="default" w:ascii="Times New Roman" w:hAnsi="Times New Roman" w:eastAsia="仿宋_GB2312" w:cs="Times New Roman"/>
          <w:sz w:val="32"/>
        </w:rPr>
        <w:t>涉嫌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未依法申报</w:t>
      </w:r>
      <w:r>
        <w:rPr>
          <w:rFonts w:hint="default" w:ascii="Times New Roman" w:hAnsi="Times New Roman" w:eastAsia="仿宋_GB2312" w:cs="Times New Roman"/>
          <w:sz w:val="32"/>
        </w:rPr>
        <w:t>经营者集中案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进行立案调查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 w:val="0"/>
        <w:bidi w:val="0"/>
        <w:adjustRightInd w:val="0"/>
        <w:snapToGrid/>
        <w:spacing w:before="0" w:beforeAutospacing="0" w:afterAutospacing="0" w:line="594" w:lineRule="exact"/>
        <w:ind w:left="0" w:right="0" w:firstLine="628" w:firstLineChars="20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经查，该案构成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未依法申报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违法实施经营者集中，但不具有排除、限制竞争的效果。本机关按照《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中华人民共和国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行政处罚法》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（以下简称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《行政处罚法》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的规定，向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三花集团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送达了《行政处罚告知书》，告知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当事人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拟作出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行政处罚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内容及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事实、理由、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依据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，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并告知当事人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依法享有的陈述、申辩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要求听证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权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利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三花集团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在规定期限内没有提出陈述、申辩意见或要求举行听证。本案现已调查、审理终结。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（一）交易方。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pacing w:line="594" w:lineRule="exact"/>
        <w:ind w:left="0" w:leftChars="0" w:firstLine="628" w:firstLineChars="200"/>
        <w:textAlignment w:val="auto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收购方：三花集团。</w:t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t>2000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月于浙江省绍兴市注册成立，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最终控制人为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略）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，主营业务包括制冷空调家电控制部件、汽车热管理控制部件和金融资本与投资业务，</w:t>
      </w:r>
      <w:r>
        <w:rPr>
          <w:rFonts w:hint="default" w:ascii="Times New Roman" w:hAnsi="Times New Roman" w:eastAsia="仿宋_GB2312" w:cs="Times New Roman"/>
          <w:bCs w:val="0"/>
          <w:sz w:val="32"/>
          <w:szCs w:val="22"/>
          <w:lang w:val="en-US" w:eastAsia="zh-CN"/>
        </w:rPr>
        <w:t>2017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年全球营业额为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略）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人民币（币种下同），中国境内营业额为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略）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pacing w:line="594" w:lineRule="exact"/>
        <w:ind w:left="0" w:leftChars="0" w:firstLine="628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被收购方：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pacing w:line="594" w:lineRule="exact"/>
        <w:ind w:left="0" w:leftChars="0" w:firstLine="628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1.宁波福尔达智能科技有限公司（以下简称福尔达）。</w:t>
      </w:r>
      <w:r>
        <w:rPr>
          <w:rFonts w:hint="default" w:ascii="Times New Roman" w:hAnsi="Times New Roman" w:eastAsia="仿宋_GB2312" w:cs="Times New Roman"/>
          <w:bCs w:val="0"/>
          <w:sz w:val="32"/>
          <w:szCs w:val="22"/>
          <w:lang w:val="en-US" w:eastAsia="zh-CN"/>
        </w:rPr>
        <w:t>1995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bCs w:val="0"/>
          <w:sz w:val="32"/>
          <w:szCs w:val="2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月于浙江省慈溪市注册成立，是威卡威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全资子公司,主营业务为汽车智能电子产品研发、生产和销售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。福尔达</w:t>
      </w:r>
      <w:r>
        <w:rPr>
          <w:rFonts w:hint="default" w:ascii="Times New Roman" w:hAnsi="Times New Roman" w:eastAsia="仿宋_GB2312" w:cs="Times New Roman"/>
          <w:bCs w:val="0"/>
          <w:sz w:val="32"/>
          <w:szCs w:val="22"/>
          <w:lang w:val="en-US" w:eastAsia="zh-CN"/>
        </w:rPr>
        <w:t>2017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年全球营业额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为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略）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，中国境内营业额为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略）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pacing w:line="594" w:lineRule="exact"/>
        <w:ind w:left="0" w:leftChars="0" w:firstLine="628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2.上海福宇龙汽车科技有限公司（以下简称福宇龙）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Cs w:val="0"/>
          <w:sz w:val="32"/>
          <w:szCs w:val="22"/>
          <w:lang w:val="en-US" w:eastAsia="zh-CN"/>
        </w:rPr>
        <w:t>2008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bCs w:val="0"/>
          <w:sz w:val="32"/>
          <w:szCs w:val="2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月于上海市注册成立，是威卡威的全资子公司，主营业务为汽车零部件以及内饰件的设计、生产和销售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。福宇龙</w:t>
      </w:r>
      <w:r>
        <w:rPr>
          <w:rFonts w:hint="default" w:ascii="Times New Roman" w:hAnsi="Times New Roman" w:eastAsia="仿宋_GB2312" w:cs="Times New Roman"/>
          <w:bCs w:val="0"/>
          <w:sz w:val="32"/>
          <w:szCs w:val="22"/>
          <w:lang w:val="en-US" w:eastAsia="zh-CN"/>
        </w:rPr>
        <w:t>2017年全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球营业额为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略）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，中国境内营业额为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略）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pacing w:line="594" w:lineRule="exact"/>
        <w:ind w:left="0" w:leftChars="0" w:firstLine="628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目标公司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原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股东：威卡威。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2002年7月于北京市注册成立，2012年3月在深圳证券交易所上市，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最终控制人为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略）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，主营业务为汽车内外饰零部件的研发、生产和销售，2017年全球营业额为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略）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，中国境内营业额为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略）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。交易前，持有福尔达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福宇龙100%股权。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（二）交易概况。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本交易系股权收购。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日，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三花集团与威卡威签署《股权转让协议》，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分别以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略）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收购威卡威持有的福尔达、福宇龙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100%股权。交易于2018年8月前完成交割。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二、违法事实及理由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（一）本案构成</w:t>
      </w:r>
      <w:r>
        <w:rPr>
          <w:rFonts w:hint="eastAsia" w:eastAsia="楷体_GB2312" w:cs="Times New Roman"/>
          <w:b w:val="0"/>
          <w:bCs w:val="0"/>
          <w:color w:val="auto"/>
          <w:kern w:val="2"/>
          <w:sz w:val="32"/>
          <w:szCs w:val="32"/>
          <w:lang w:eastAsia="zh-CN"/>
        </w:rPr>
        <w:t>未依法申报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违法实施的经营者集中。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《反垄断法》第二十条规定“经营者集中是指下列情形：（一）经营者合并；（二）经营者通过取得股权或者资产的方式取得对其他经营者的控制权；（三）经营者通过合同等方式取得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对其他经营者的控制权或者能够对其他经营者施加决定性影响”。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该交易系股权收购，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三花集团取得福尔达、福宇龙100%股权，并取得</w:t>
      </w:r>
      <w:r>
        <w:rPr>
          <w:rFonts w:hint="default" w:ascii="Times New Roman" w:hAnsi="Times New Roman" w:eastAsia="仿宋_GB2312" w:cs="Times New Roman"/>
          <w:bCs/>
          <w:sz w:val="32"/>
          <w:szCs w:val="36"/>
          <w:lang w:eastAsia="zh-CN"/>
        </w:rPr>
        <w:t>单独</w:t>
      </w:r>
      <w:r>
        <w:rPr>
          <w:rFonts w:hint="default" w:ascii="Times New Roman" w:hAnsi="Times New Roman" w:eastAsia="仿宋_GB2312" w:cs="Times New Roman"/>
          <w:bCs/>
          <w:sz w:val="32"/>
          <w:szCs w:val="36"/>
        </w:rPr>
        <w:t>控制权</w:t>
      </w:r>
      <w:r>
        <w:rPr>
          <w:rFonts w:hint="default" w:ascii="Times New Roman" w:hAnsi="Times New Roman" w:eastAsia="仿宋_GB2312" w:cs="Times New Roman"/>
          <w:bCs/>
          <w:sz w:val="32"/>
          <w:szCs w:val="36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Cs/>
          <w:sz w:val="32"/>
          <w:szCs w:val="36"/>
          <w:lang w:val="en-US" w:eastAsia="zh-CN"/>
        </w:rPr>
        <w:t>属于</w:t>
      </w:r>
      <w:r>
        <w:rPr>
          <w:rFonts w:hint="default" w:ascii="Times New Roman" w:hAnsi="Times New Roman" w:eastAsia="仿宋_GB2312" w:cs="Times New Roman"/>
          <w:bCs/>
          <w:sz w:val="32"/>
          <w:szCs w:val="36"/>
          <w:lang w:eastAsia="zh-CN"/>
        </w:rPr>
        <w:t>《反垄断法》第二十条规定的经营者集中。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594" w:lineRule="exact"/>
        <w:ind w:left="0" w:firstLine="628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三花集团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2017年全球营业额为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略）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，中国境内营业额为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略）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；福尔达2017年全球营业额为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略）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，中国境内营业额为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略）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福宇龙2017年全球营业额为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略）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，中国境内营业额为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略）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因此，交易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达到《国务院关于经营者集中申报标准的规定》第三条规定的申报标准，属于应当申报的情形。</w:t>
      </w:r>
    </w:p>
    <w:p>
      <w:pPr>
        <w:pStyle w:val="5"/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before="0" w:beforeAutospacing="0" w:after="0" w:afterAutospacing="0" w:line="594" w:lineRule="exact"/>
        <w:ind w:firstLine="628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《反垄断法》第二十一条规定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营者集中达到国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务院规定的申报标准的，经营者应当事先向国务院反垄断执法机构申报，未申报的不得实施集中”。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2018年7月27日，福尔达完成股权变更登记；2018年8月2日，福宇龙完成股权变更登记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</w:rPr>
        <w:t>在此之前未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eastAsia="zh-CN"/>
        </w:rPr>
        <w:t>依法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</w:rPr>
        <w:t>申报，违反《反垄断法》第二十一条，构成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eastAsia="zh-CN"/>
        </w:rPr>
        <w:t>未依法申报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</w:rPr>
        <w:t>违法实施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的经营者集中。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（二）本案不具有排除、限制竞争的效果。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28" w:firstLineChars="200"/>
        <w:textAlignment w:val="auto"/>
        <w:outlineLvl w:val="0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本机关就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三花集团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收购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威卡威有关业务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对市场竞争的影响进行了评估，评估认为，该项经营者集中不会产生排除、限制竞争的效果。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三、行政处罚依据和决定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16" w:firstLineChars="196"/>
        <w:textAlignment w:val="auto"/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《反垄断法》第四十八条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规定“经营者违反本法规定实施集中的，由国务院反垄断执法机构责令停止实施集中、限期处分股份或者资产、限期转让营业以及采取其他必要措施恢复到集中前的状态，可以处五十万元以下的罚款”。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《反垄断法》第四十九条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规定“对本法第四十六条、第四十七条、第四十八条规定的罚款，反垄断执法机构确定具体罚款数额时，应当考虑违法行为的性质、程度和持续的时间等因素”。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上述规定，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基于调查情况和评估结论，本机关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决定给予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三花集团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0万元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罚款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的行政处罚。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《行政处罚法》第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六十七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条规定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“作出罚款决定的行政机关应当与收缴罚款的机构分离。除依照本法第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六十八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条、第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六十九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条的规定当场收缴的罚款外，作出行政处罚决定的行政机关及其执法人员不得自行收缴罚款。当事人应当自收到行政处罚决定书之日起十五日内，到指定的银行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或者通过电子支付系统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缴纳罚款。银行应当收受罚款，并将罚款直接上缴国库”。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当事人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应当自收到本行政处罚决定书之日起十五日内，携缴款码到1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家中央财政非税收入收缴代理银行（工、农、中、建、交、中信、光大、招商、邮储、华夏、平安、兴业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、民生、广发、浙商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）任一银行网点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网上银行交纳罚款。缴款码：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略）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当事人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 xml:space="preserve">如对上述行政处罚决定不服，可以自收到本行政处罚决定书之日起六十日内，向国家市场监督管理总局申请行政复议；或者自收到本行政处罚决定书之日起六个月内，依法向人民法院提起行政诉讼。行政复议或者行政诉讼期间，本行政处罚决定不停止执行。 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pacing w:after="0" w:line="594" w:lineRule="exact"/>
        <w:textAlignment w:val="auto"/>
        <w:rPr>
          <w:rFonts w:hint="default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594" w:lineRule="exact"/>
        <w:ind w:firstLine="5433" w:firstLineChars="173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市场监管总局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594" w:lineRule="exact"/>
        <w:ind w:firstLine="5225" w:firstLineChars="1664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月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28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（此件公开发布）</w:t>
      </w:r>
    </w:p>
    <w:sectPr>
      <w:footerReference r:id="rId3" w:type="default"/>
      <w:footerReference r:id="rId4" w:type="even"/>
      <w:pgSz w:w="11906" w:h="16838"/>
      <w:pgMar w:top="1440" w:right="1803" w:bottom="1440" w:left="1803" w:header="851" w:footer="1814" w:gutter="0"/>
      <w:cols w:space="0" w:num="1"/>
      <w:rtlGutter w:val="0"/>
      <w:docGrid w:type="linesAndChars" w:linePitch="290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15" w:leftChars="150" w:right="315" w:rightChars="150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570B1"/>
    <w:rsid w:val="0023200C"/>
    <w:rsid w:val="05D15580"/>
    <w:rsid w:val="075F674C"/>
    <w:rsid w:val="09AC08F5"/>
    <w:rsid w:val="105070ED"/>
    <w:rsid w:val="13F85EFD"/>
    <w:rsid w:val="16430222"/>
    <w:rsid w:val="16657401"/>
    <w:rsid w:val="169767E4"/>
    <w:rsid w:val="173B2FCB"/>
    <w:rsid w:val="18DB1E51"/>
    <w:rsid w:val="192053EE"/>
    <w:rsid w:val="1A156921"/>
    <w:rsid w:val="1B095395"/>
    <w:rsid w:val="1C11264C"/>
    <w:rsid w:val="1D3570B1"/>
    <w:rsid w:val="1ED67F29"/>
    <w:rsid w:val="1F573D93"/>
    <w:rsid w:val="21623065"/>
    <w:rsid w:val="21A54411"/>
    <w:rsid w:val="239A0124"/>
    <w:rsid w:val="265326DA"/>
    <w:rsid w:val="28C8606C"/>
    <w:rsid w:val="29171A1E"/>
    <w:rsid w:val="2A7A6DC6"/>
    <w:rsid w:val="2B0F6D0F"/>
    <w:rsid w:val="2C45017C"/>
    <w:rsid w:val="31E778A8"/>
    <w:rsid w:val="33B94AAA"/>
    <w:rsid w:val="33E16394"/>
    <w:rsid w:val="38043EF0"/>
    <w:rsid w:val="39E75B24"/>
    <w:rsid w:val="3A62479F"/>
    <w:rsid w:val="3D086E74"/>
    <w:rsid w:val="3FAD2E94"/>
    <w:rsid w:val="4297136E"/>
    <w:rsid w:val="44F1186A"/>
    <w:rsid w:val="48A63464"/>
    <w:rsid w:val="48C67004"/>
    <w:rsid w:val="49513DE5"/>
    <w:rsid w:val="49F75885"/>
    <w:rsid w:val="4ABC40B8"/>
    <w:rsid w:val="4EF957B9"/>
    <w:rsid w:val="4EFD73AF"/>
    <w:rsid w:val="51075873"/>
    <w:rsid w:val="52A77C54"/>
    <w:rsid w:val="5A3853F1"/>
    <w:rsid w:val="5BDD2331"/>
    <w:rsid w:val="5C686AC3"/>
    <w:rsid w:val="5D4E6DD5"/>
    <w:rsid w:val="60B36F71"/>
    <w:rsid w:val="630535E1"/>
    <w:rsid w:val="63432760"/>
    <w:rsid w:val="640E6FE8"/>
    <w:rsid w:val="68197930"/>
    <w:rsid w:val="686D740E"/>
    <w:rsid w:val="69936D32"/>
    <w:rsid w:val="6A564164"/>
    <w:rsid w:val="6F712D0C"/>
    <w:rsid w:val="7073388E"/>
    <w:rsid w:val="74782380"/>
    <w:rsid w:val="799607CC"/>
    <w:rsid w:val="799C3559"/>
    <w:rsid w:val="7A782B89"/>
    <w:rsid w:val="7D64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ascii="Calibri" w:hAnsi="Calibri" w:eastAsia="宋体" w:cs="Times New Roman"/>
      <w:szCs w:val="22"/>
    </w:rPr>
  </w:style>
  <w:style w:type="paragraph" w:styleId="3">
    <w:name w:val="Normal Indent"/>
    <w:basedOn w:val="1"/>
    <w:qFormat/>
    <w:uiPriority w:val="0"/>
    <w:pPr>
      <w:spacing w:line="360" w:lineRule="exact"/>
      <w:ind w:firstLine="420" w:firstLineChars="200"/>
    </w:pPr>
    <w:rPr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内容"/>
    <w:basedOn w:val="1"/>
    <w:qFormat/>
    <w:uiPriority w:val="0"/>
    <w:pPr>
      <w:suppressAutoHyphens/>
      <w:overflowPunct w:val="0"/>
      <w:autoSpaceDE w:val="0"/>
      <w:autoSpaceDN w:val="0"/>
      <w:adjustRightInd w:val="0"/>
      <w:spacing w:line="360" w:lineRule="auto"/>
      <w:ind w:firstLine="200" w:firstLineChars="200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2020-12-10T02:26:00Z</dcterms:created>
  <dc:creator>徐霄飞</dc:creator>
  <cp:lastModifiedBy>张宝成</cp:lastModifiedBy>
  <cp:lastPrinted>2021-07-02T06:21:00Z</cp:lastPrinted>
  <dcterms:modified xsi:type="dcterms:W3CDTF">2021-12-28T07:49:49Z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