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E2CCC" w14:textId="77777777" w:rsidR="00094095" w:rsidRPr="0015166A" w:rsidRDefault="00094095" w:rsidP="00316B15">
      <w:pPr>
        <w:spacing w:line="4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66A">
        <w:rPr>
          <w:rFonts w:ascii="Times New Roman" w:hAnsi="Times New Roman"/>
          <w:b/>
          <w:bCs/>
          <w:sz w:val="28"/>
          <w:szCs w:val="28"/>
        </w:rPr>
        <w:t>经营者集中简易案件公示表</w:t>
      </w:r>
    </w:p>
    <w:p w14:paraId="4AB939F1" w14:textId="77777777" w:rsidR="0095347A" w:rsidRPr="0015166A" w:rsidRDefault="0095347A" w:rsidP="00EE2784">
      <w:pPr>
        <w:spacing w:line="4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09"/>
        <w:gridCol w:w="4754"/>
      </w:tblGrid>
      <w:tr w:rsidR="00D73A38" w:rsidRPr="0015166A" w14:paraId="4D42BED9" w14:textId="77777777" w:rsidTr="00066E9A">
        <w:tc>
          <w:tcPr>
            <w:tcW w:w="1696" w:type="dxa"/>
            <w:shd w:val="clear" w:color="auto" w:fill="D9D9D9"/>
          </w:tcPr>
          <w:p w14:paraId="3EF0B65B" w14:textId="77777777" w:rsidR="00266A6B" w:rsidRPr="0015166A" w:rsidRDefault="00266A6B" w:rsidP="00266A6B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339098CD" w14:textId="1B2BBA63" w:rsidR="00266A6B" w:rsidRPr="00E85DDF" w:rsidRDefault="00C30030" w:rsidP="00E1347C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贝恩资本投资者有限责任公司与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H&amp;F Corporate Investors X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有限公司收购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athenahealth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集团公司股权案</w:t>
            </w:r>
          </w:p>
        </w:tc>
      </w:tr>
      <w:tr w:rsidR="00D73A38" w:rsidRPr="0015166A" w14:paraId="0DDDC025" w14:textId="77777777" w:rsidTr="00066E9A">
        <w:trPr>
          <w:trHeight w:val="993"/>
        </w:trPr>
        <w:tc>
          <w:tcPr>
            <w:tcW w:w="1696" w:type="dxa"/>
            <w:shd w:val="clear" w:color="auto" w:fill="D9D9D9"/>
          </w:tcPr>
          <w:p w14:paraId="14A06486" w14:textId="77777777" w:rsidR="00266A6B" w:rsidRPr="0015166A" w:rsidRDefault="00266A6B" w:rsidP="00266A6B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交易概况（限</w:t>
            </w: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200</w:t>
            </w: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663" w:type="dxa"/>
            <w:gridSpan w:val="2"/>
          </w:tcPr>
          <w:p w14:paraId="68177002" w14:textId="54CB9CC2" w:rsidR="0058057F" w:rsidRPr="0058057F" w:rsidRDefault="0058057F" w:rsidP="0058057F">
            <w:pPr>
              <w:tabs>
                <w:tab w:val="left" w:pos="651"/>
              </w:tabs>
              <w:spacing w:beforeLines="50" w:before="156" w:afterLines="50" w:after="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此次交易</w:t>
            </w:r>
            <w:r w:rsidR="00066E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涉及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贝恩资本投资者有限责任公司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（“</w:t>
            </w:r>
            <w:r w:rsidRPr="0007651B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贝恩资本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”）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H&amp;F Corporate Investors X</w:t>
            </w:r>
            <w:r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有限公司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（“</w:t>
            </w:r>
            <w:r w:rsidRPr="0007651B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H&amp;F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”）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各自</w:t>
            </w:r>
            <w:r w:rsidR="00066E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控制、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管理或建议的基金对</w:t>
            </w:r>
            <w:r w:rsidR="0007651B"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athenahealth</w:t>
            </w:r>
            <w:r w:rsidR="0007651B" w:rsidRPr="00C30030">
              <w:rPr>
                <w:rFonts w:ascii="Times New Roman" w:hAnsi="Times New Roman" w:hint="eastAsia"/>
                <w:kern w:val="0"/>
                <w:sz w:val="24"/>
                <w:szCs w:val="24"/>
              </w:rPr>
              <w:t>集团公司</w:t>
            </w:r>
            <w:r w:rsidR="0007651B">
              <w:rPr>
                <w:rFonts w:ascii="Times New Roman" w:hAnsi="Times New Roman" w:hint="eastAsia"/>
                <w:kern w:val="0"/>
                <w:sz w:val="24"/>
                <w:szCs w:val="24"/>
              </w:rPr>
              <w:t>（“</w:t>
            </w:r>
            <w:r w:rsidR="0007651B" w:rsidRPr="0007651B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athenahealth</w:t>
            </w:r>
            <w:r w:rsidR="0007651B">
              <w:rPr>
                <w:rFonts w:ascii="Times New Roman" w:hAnsi="Times New Roman" w:hint="eastAsia"/>
                <w:kern w:val="0"/>
                <w:sz w:val="24"/>
                <w:szCs w:val="24"/>
              </w:rPr>
              <w:t>”）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共同控制权</w:t>
            </w:r>
            <w:r w:rsidR="00066E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的收购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（“</w:t>
            </w:r>
            <w:r w:rsidRPr="0058057F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拟议交易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”）。</w:t>
            </w:r>
          </w:p>
          <w:p w14:paraId="683D2C6A" w14:textId="6710C298" w:rsidR="00266A6B" w:rsidRPr="0015166A" w:rsidRDefault="0058057F" w:rsidP="0058057F">
            <w:pPr>
              <w:tabs>
                <w:tab w:val="left" w:pos="651"/>
              </w:tabs>
              <w:spacing w:beforeLines="50" w:before="156" w:afterLines="50" w:after="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拟议交易完成后，</w:t>
            </w:r>
            <w:r w:rsidR="00823982" w:rsidRPr="0082398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athenahealth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将由</w:t>
            </w:r>
            <w:bookmarkStart w:id="0" w:name="_GoBack"/>
            <w:bookmarkEnd w:id="0"/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贝恩资本和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H&amp;F</w:t>
            </w:r>
            <w:r w:rsidRPr="0058057F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共同控制。</w:t>
            </w:r>
          </w:p>
        </w:tc>
      </w:tr>
      <w:tr w:rsidR="0007651B" w:rsidRPr="0015166A" w14:paraId="687B1CBB" w14:textId="77777777" w:rsidTr="00066E9A">
        <w:trPr>
          <w:trHeight w:val="988"/>
        </w:trPr>
        <w:tc>
          <w:tcPr>
            <w:tcW w:w="1696" w:type="dxa"/>
            <w:vMerge w:val="restart"/>
            <w:shd w:val="clear" w:color="auto" w:fill="D9D9D9"/>
          </w:tcPr>
          <w:p w14:paraId="0F20F28F" w14:textId="77777777" w:rsidR="0007651B" w:rsidRPr="0015166A" w:rsidRDefault="0007651B" w:rsidP="00266A6B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909" w:type="dxa"/>
          </w:tcPr>
          <w:p w14:paraId="7E060461" w14:textId="3403CFCB" w:rsidR="0007651B" w:rsidRPr="00E85DDF" w:rsidRDefault="0007651B" w:rsidP="00E1347C">
            <w:pPr>
              <w:pStyle w:val="a9"/>
              <w:numPr>
                <w:ilvl w:val="0"/>
                <w:numId w:val="17"/>
              </w:numPr>
              <w:spacing w:beforeLines="50" w:before="156" w:afterLines="50" w:after="156"/>
              <w:ind w:left="357" w:firstLineChars="0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贝恩资本</w:t>
            </w:r>
          </w:p>
        </w:tc>
        <w:tc>
          <w:tcPr>
            <w:tcW w:w="4754" w:type="dxa"/>
          </w:tcPr>
          <w:p w14:paraId="47E2F26D" w14:textId="45FC3178" w:rsidR="0007651B" w:rsidRPr="0015166A" w:rsidRDefault="00485687" w:rsidP="00485687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贝恩资本成立于</w:t>
            </w:r>
            <w:r w:rsidR="00D11610" w:rsidRPr="00D11610">
              <w:rPr>
                <w:rFonts w:ascii="Times New Roman" w:hAnsi="Times New Roman" w:hint="eastAsia"/>
                <w:sz w:val="24"/>
                <w:szCs w:val="24"/>
              </w:rPr>
              <w:t>2000</w:t>
            </w:r>
            <w:r w:rsidR="00D11610" w:rsidRPr="00D1161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，其</w:t>
            </w:r>
            <w:r w:rsidR="00D11610" w:rsidRPr="00D11610">
              <w:rPr>
                <w:rFonts w:ascii="Times New Roman" w:hAnsi="Times New Roman" w:hint="eastAsia"/>
                <w:sz w:val="24"/>
                <w:szCs w:val="24"/>
              </w:rPr>
              <w:t>美国法律注册成立，是众多私募股权基金的最终普通合伙人。这些基金都是从事公司投资的独立有限合伙企业。</w:t>
            </w:r>
            <w:r w:rsidR="00DD1C7B" w:rsidRPr="00DD1C7B">
              <w:rPr>
                <w:rFonts w:ascii="Times New Roman" w:hAnsi="Times New Roman" w:hint="eastAsia"/>
                <w:sz w:val="24"/>
                <w:szCs w:val="24"/>
              </w:rPr>
              <w:t>贝恩资本通过基金对多行业的公司进行投资，投资行业包括信息技术、医疗保健、零售和消费品、通信、金融服务和工业</w:t>
            </w:r>
            <w:r w:rsidR="00DD1C7B" w:rsidRPr="00DD1C7B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DD1C7B" w:rsidRPr="00DD1C7B">
              <w:rPr>
                <w:rFonts w:ascii="Times New Roman" w:hAnsi="Times New Roman" w:hint="eastAsia"/>
                <w:sz w:val="24"/>
                <w:szCs w:val="24"/>
              </w:rPr>
              <w:t>制造业。</w:t>
            </w:r>
          </w:p>
        </w:tc>
      </w:tr>
      <w:tr w:rsidR="0007651B" w:rsidRPr="0015166A" w14:paraId="7DB5275E" w14:textId="77777777" w:rsidTr="00066E9A">
        <w:trPr>
          <w:trHeight w:val="404"/>
        </w:trPr>
        <w:tc>
          <w:tcPr>
            <w:tcW w:w="1696" w:type="dxa"/>
            <w:vMerge/>
            <w:shd w:val="clear" w:color="auto" w:fill="D9D9D9"/>
          </w:tcPr>
          <w:p w14:paraId="560A29AB" w14:textId="77777777" w:rsidR="0007651B" w:rsidRPr="0015166A" w:rsidRDefault="0007651B" w:rsidP="00266A6B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EED6900" w14:textId="6FC22622" w:rsidR="0007651B" w:rsidRPr="0015166A" w:rsidRDefault="0007651B" w:rsidP="00E85DDF">
            <w:pPr>
              <w:pStyle w:val="a9"/>
              <w:numPr>
                <w:ilvl w:val="0"/>
                <w:numId w:val="17"/>
              </w:numPr>
              <w:spacing w:beforeLines="50" w:before="156" w:afterLines="50" w:after="156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H&amp;F</w:t>
            </w:r>
          </w:p>
        </w:tc>
        <w:tc>
          <w:tcPr>
            <w:tcW w:w="4754" w:type="dxa"/>
          </w:tcPr>
          <w:p w14:paraId="54E203B5" w14:textId="3ADC5887" w:rsidR="0007651B" w:rsidRPr="00DD1C7B" w:rsidRDefault="00DD1C7B" w:rsidP="00485687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C7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H&amp;F</w:t>
            </w:r>
            <w:r w:rsid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成立于</w:t>
            </w:r>
            <w:r w:rsid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="008E44E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48568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年，</w:t>
            </w:r>
            <w:r w:rsidR="00485687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其是</w:t>
            </w:r>
            <w:r w:rsidRPr="00DD1C7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一家根据美国特拉华州法律成立的私募股权投资公司，在旧金山、纽约和伦敦设有办事处，专注于投资软件和技术、金融服务、医疗、消费和零售以及其他商业服务等行业，并成为被投资企业管理层的增值伙伴。</w:t>
            </w:r>
          </w:p>
        </w:tc>
      </w:tr>
      <w:tr w:rsidR="0007651B" w:rsidRPr="0015166A" w14:paraId="25A9329B" w14:textId="77777777" w:rsidTr="00066E9A">
        <w:trPr>
          <w:trHeight w:val="404"/>
        </w:trPr>
        <w:tc>
          <w:tcPr>
            <w:tcW w:w="1696" w:type="dxa"/>
            <w:vMerge/>
            <w:shd w:val="clear" w:color="auto" w:fill="D9D9D9"/>
          </w:tcPr>
          <w:p w14:paraId="1D1504CB" w14:textId="77777777" w:rsidR="0007651B" w:rsidRPr="0015166A" w:rsidRDefault="0007651B" w:rsidP="00266A6B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A65A042" w14:textId="768949F4" w:rsidR="0007651B" w:rsidRDefault="0007651B" w:rsidP="00E85DDF">
            <w:pPr>
              <w:pStyle w:val="a9"/>
              <w:numPr>
                <w:ilvl w:val="0"/>
                <w:numId w:val="17"/>
              </w:numPr>
              <w:spacing w:beforeLines="50" w:before="156" w:afterLines="50" w:after="156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athenahealth</w:t>
            </w:r>
          </w:p>
        </w:tc>
        <w:tc>
          <w:tcPr>
            <w:tcW w:w="4754" w:type="dxa"/>
          </w:tcPr>
          <w:p w14:paraId="37C1ECE1" w14:textId="6E2C76C7" w:rsidR="0007651B" w:rsidRDefault="00066E9A" w:rsidP="001E7C4B">
            <w:pPr>
              <w:spacing w:beforeLines="50" w:before="156" w:afterLines="50" w:after="1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8E44E6" w:rsidRP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thenahealth</w:t>
            </w:r>
            <w:r w:rsid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成立于</w:t>
            </w:r>
            <w:r w:rsidR="001E7C4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年，</w:t>
            </w:r>
            <w:r w:rsidR="008E44E6" w:rsidRP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总部位于美国马萨诸塞州，是一家基于云计算的医疗记录、收入周期、患者参与、护理协调和人口健康服务以及医疗点移动应用的供应商。其提供的产品和服务专为医疗行业设计，专门服务于医疗</w:t>
            </w:r>
            <w:r w:rsidR="007543A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执业</w:t>
            </w:r>
            <w:r w:rsidR="008E44E6" w:rsidRPr="008E44E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、医院和卫生系统以及健康计划。</w:t>
            </w:r>
          </w:p>
        </w:tc>
      </w:tr>
      <w:tr w:rsidR="00D73A38" w:rsidRPr="0015166A" w14:paraId="779A4BF3" w14:textId="77777777" w:rsidTr="00066E9A">
        <w:trPr>
          <w:trHeight w:val="279"/>
        </w:trPr>
        <w:tc>
          <w:tcPr>
            <w:tcW w:w="1696" w:type="dxa"/>
            <w:vMerge w:val="restart"/>
            <w:shd w:val="clear" w:color="auto" w:fill="D9D9D9"/>
          </w:tcPr>
          <w:p w14:paraId="29B44194" w14:textId="77777777" w:rsidR="00094095" w:rsidRPr="0015166A" w:rsidRDefault="00094095" w:rsidP="00BB2377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简易案件理由（</w:t>
            </w:r>
            <w:r w:rsidR="005F167B"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可以单选，也可以多选</w:t>
            </w: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663" w:type="dxa"/>
            <w:gridSpan w:val="2"/>
          </w:tcPr>
          <w:p w14:paraId="03448B22" w14:textId="57831D79" w:rsidR="00094095" w:rsidRPr="0015166A" w:rsidRDefault="007543A3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15166A">
              <w:rPr>
                <w:rFonts w:ascii="Times New Roman" w:hAnsi="Times New Roman" w:cs="Arial"/>
                <w:sz w:val="24"/>
                <w:szCs w:val="24"/>
                <w:lang w:val="en-GB"/>
              </w:rPr>
              <w:sym w:font="Wingdings" w:char="F0A8"/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1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、在同一相关市场，所有参与集中的经营者所占市场份额之和小于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15%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D73A38" w:rsidRPr="0015166A" w14:paraId="084D7D28" w14:textId="77777777" w:rsidTr="00066E9A">
        <w:trPr>
          <w:trHeight w:val="330"/>
        </w:trPr>
        <w:tc>
          <w:tcPr>
            <w:tcW w:w="1696" w:type="dxa"/>
            <w:vMerge/>
            <w:shd w:val="clear" w:color="auto" w:fill="D9D9D9"/>
          </w:tcPr>
          <w:p w14:paraId="756096BF" w14:textId="77777777" w:rsidR="00094095" w:rsidRPr="0015166A" w:rsidRDefault="00094095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15841CB1" w14:textId="4AD90336" w:rsidR="00094095" w:rsidRPr="0015166A" w:rsidRDefault="003061D7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15166A">
              <w:rPr>
                <w:rFonts w:ascii="Times New Roman" w:hAnsi="Times New Roman" w:cs="Arial"/>
                <w:sz w:val="24"/>
                <w:szCs w:val="24"/>
                <w:lang w:val="en-GB"/>
              </w:rPr>
              <w:sym w:font="Wingdings" w:char="F0A8"/>
            </w:r>
            <w:r w:rsidRPr="0015166A">
              <w:rPr>
                <w:rFonts w:ascii="Times New Roman" w:hAnsi="Times New Roman" w:cs="Arial"/>
                <w:sz w:val="24"/>
                <w:szCs w:val="24"/>
                <w:lang w:val="en-GB"/>
              </w:rPr>
              <w:t xml:space="preserve"> 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2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、存在上下游关系的参与集中的经营者，在上下游市场所占的市场份额均小于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25%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D73A38" w:rsidRPr="0015166A" w14:paraId="333A6FC0" w14:textId="77777777" w:rsidTr="00066E9A">
        <w:trPr>
          <w:trHeight w:val="285"/>
        </w:trPr>
        <w:tc>
          <w:tcPr>
            <w:tcW w:w="1696" w:type="dxa"/>
            <w:vMerge/>
            <w:shd w:val="clear" w:color="auto" w:fill="D9D9D9"/>
          </w:tcPr>
          <w:p w14:paraId="1FC72C9E" w14:textId="77777777" w:rsidR="00094095" w:rsidRPr="0015166A" w:rsidRDefault="00094095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37076F02" w14:textId="440F19B7" w:rsidR="00094095" w:rsidRPr="0015166A" w:rsidRDefault="003061D7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15166A">
              <w:rPr>
                <w:rFonts w:ascii="Times New Roman" w:hAnsi="Times New Roman" w:cs="Arial"/>
                <w:sz w:val="24"/>
                <w:szCs w:val="24"/>
                <w:lang w:val="en-GB"/>
              </w:rPr>
              <w:sym w:font="Wingdings" w:char="F0A8"/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3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、不在同一相关市场、也不存在上下游关系的参与集中的经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lastRenderedPageBreak/>
              <w:t>营者，在与交易有关的每个市场所占的份额均小于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25%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D73A38" w:rsidRPr="0015166A" w14:paraId="53C0D8DE" w14:textId="77777777" w:rsidTr="00066E9A">
        <w:trPr>
          <w:trHeight w:val="870"/>
        </w:trPr>
        <w:tc>
          <w:tcPr>
            <w:tcW w:w="1696" w:type="dxa"/>
            <w:vMerge/>
            <w:shd w:val="clear" w:color="auto" w:fill="D9D9D9"/>
          </w:tcPr>
          <w:p w14:paraId="63DDF24A" w14:textId="77777777" w:rsidR="00094095" w:rsidRPr="0015166A" w:rsidRDefault="00094095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54A4DD0B" w14:textId="0CFA88D7" w:rsidR="00094095" w:rsidRPr="0015166A" w:rsidRDefault="00087D30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15166A">
              <w:rPr>
                <w:rFonts w:ascii="Times New Roman" w:hAnsi="Times New Roman" w:cs="Arial"/>
                <w:sz w:val="24"/>
                <w:szCs w:val="24"/>
                <w:lang w:val="en-GB"/>
              </w:rPr>
              <w:sym w:font="Wingdings" w:char="F0A8"/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4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D73A38" w:rsidRPr="0015166A" w14:paraId="6805632B" w14:textId="77777777" w:rsidTr="00066E9A">
        <w:trPr>
          <w:trHeight w:val="264"/>
        </w:trPr>
        <w:tc>
          <w:tcPr>
            <w:tcW w:w="1696" w:type="dxa"/>
            <w:vMerge/>
            <w:shd w:val="clear" w:color="auto" w:fill="D9D9D9"/>
          </w:tcPr>
          <w:p w14:paraId="284CAFBD" w14:textId="77777777" w:rsidR="00094095" w:rsidRPr="0015166A" w:rsidRDefault="00094095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20FEBF80" w14:textId="3878C4B3" w:rsidR="00094095" w:rsidRPr="0015166A" w:rsidRDefault="007543A3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en-GB"/>
              </w:rPr>
              <w:sym w:font="Wingdings" w:char="F0FE"/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5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D73A38" w:rsidRPr="0015166A" w14:paraId="3F5B2633" w14:textId="77777777" w:rsidTr="00066E9A">
        <w:trPr>
          <w:trHeight w:val="345"/>
        </w:trPr>
        <w:tc>
          <w:tcPr>
            <w:tcW w:w="1696" w:type="dxa"/>
            <w:vMerge/>
            <w:shd w:val="clear" w:color="auto" w:fill="D9D9D9"/>
          </w:tcPr>
          <w:p w14:paraId="31BA6860" w14:textId="77777777" w:rsidR="00094095" w:rsidRPr="0015166A" w:rsidRDefault="00094095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5742F919" w14:textId="5E107735" w:rsidR="00094095" w:rsidRPr="0015166A" w:rsidRDefault="00527F6A" w:rsidP="002F2D60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066E9A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6</w:t>
            </w:r>
            <w:r w:rsidR="00094095" w:rsidRPr="0015166A">
              <w:rPr>
                <w:rFonts w:ascii="Times New Roman" w:hAnsi="Times New Roman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D73A38" w:rsidRPr="0015166A" w14:paraId="57C9DAD0" w14:textId="77777777" w:rsidTr="00066E9A">
        <w:trPr>
          <w:trHeight w:val="139"/>
        </w:trPr>
        <w:tc>
          <w:tcPr>
            <w:tcW w:w="1696" w:type="dxa"/>
            <w:shd w:val="clear" w:color="auto" w:fill="D9D9D9"/>
          </w:tcPr>
          <w:p w14:paraId="26D53E82" w14:textId="77777777" w:rsidR="00094095" w:rsidRPr="0015166A" w:rsidRDefault="00094095" w:rsidP="002F2D60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66A">
              <w:rPr>
                <w:rFonts w:ascii="Times New Roman" w:hAnsi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663" w:type="dxa"/>
            <w:gridSpan w:val="2"/>
          </w:tcPr>
          <w:p w14:paraId="7F4D6934" w14:textId="3CF729B5" w:rsidR="007364E2" w:rsidRPr="00066E9A" w:rsidRDefault="00485687" w:rsidP="00066E9A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485687">
              <w:rPr>
                <w:rFonts w:ascii="Times New Roman" w:hAnsi="Times New Roman"/>
                <w:sz w:val="24"/>
                <w:szCs w:val="24"/>
              </w:rPr>
              <w:t>申报方申请简易案件的理由是基于第</w:t>
            </w:r>
            <w:r w:rsidRPr="00485687">
              <w:rPr>
                <w:rFonts w:ascii="Times New Roman" w:hAnsi="Times New Roman"/>
                <w:sz w:val="24"/>
                <w:szCs w:val="24"/>
              </w:rPr>
              <w:t>4</w:t>
            </w:r>
            <w:r w:rsidRPr="00485687">
              <w:rPr>
                <w:rFonts w:ascii="Times New Roman" w:hAnsi="Times New Roman"/>
                <w:sz w:val="24"/>
                <w:szCs w:val="24"/>
              </w:rPr>
              <w:t>项、第</w:t>
            </w:r>
            <w:r w:rsidRPr="00485687">
              <w:rPr>
                <w:rFonts w:ascii="Times New Roman" w:hAnsi="Times New Roman"/>
                <w:sz w:val="24"/>
                <w:szCs w:val="24"/>
              </w:rPr>
              <w:t>5</w:t>
            </w:r>
            <w:r w:rsidRPr="00485687">
              <w:rPr>
                <w:rFonts w:ascii="Times New Roman" w:hAnsi="Times New Roman"/>
                <w:sz w:val="24"/>
                <w:szCs w:val="24"/>
              </w:rPr>
              <w:t>项时，无须在备注中说明相关市场和市场份额。</w:t>
            </w:r>
          </w:p>
        </w:tc>
      </w:tr>
    </w:tbl>
    <w:p w14:paraId="1D712EA4" w14:textId="77777777" w:rsidR="00F87C1F" w:rsidRDefault="00F87C1F" w:rsidP="00F234B2">
      <w:pPr>
        <w:snapToGrid w:val="0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p w14:paraId="69F53054" w14:textId="77777777" w:rsidR="00485687" w:rsidRPr="00485687" w:rsidRDefault="00485687" w:rsidP="00485687">
      <w:pPr>
        <w:spacing w:line="500" w:lineRule="exact"/>
        <w:rPr>
          <w:rFonts w:ascii="Times New Roman" w:hAnsi="Times New Roman"/>
          <w:sz w:val="24"/>
          <w:szCs w:val="24"/>
        </w:rPr>
      </w:pPr>
      <w:r w:rsidRPr="00485687">
        <w:rPr>
          <w:rFonts w:ascii="Times New Roman" w:hAnsi="Times New Roman"/>
          <w:sz w:val="24"/>
          <w:szCs w:val="24"/>
        </w:rPr>
        <w:t>注解：</w:t>
      </w:r>
    </w:p>
    <w:p w14:paraId="7E4BEAB1" w14:textId="77777777" w:rsidR="00485687" w:rsidRPr="00485687" w:rsidRDefault="00485687" w:rsidP="00485687">
      <w:pPr>
        <w:spacing w:line="500" w:lineRule="exact"/>
        <w:rPr>
          <w:rFonts w:ascii="Times New Roman" w:hAnsi="Times New Roman"/>
          <w:sz w:val="24"/>
          <w:szCs w:val="24"/>
        </w:rPr>
      </w:pPr>
      <w:r w:rsidRPr="00485687">
        <w:rPr>
          <w:rFonts w:ascii="Times New Roman" w:hAnsi="Times New Roman"/>
          <w:sz w:val="24"/>
          <w:szCs w:val="24"/>
        </w:rPr>
        <w:t>1.</w:t>
      </w:r>
      <w:r w:rsidRPr="00485687">
        <w:rPr>
          <w:rFonts w:ascii="Times New Roman" w:hAnsi="Times New Roman"/>
          <w:sz w:val="24"/>
          <w:szCs w:val="24"/>
        </w:rPr>
        <w:t>申报方申请简易案件的理由是基于</w:t>
      </w:r>
      <w:r w:rsidRPr="00485687">
        <w:rPr>
          <w:rFonts w:ascii="Times New Roman" w:hAnsi="Times New Roman"/>
          <w:sz w:val="24"/>
          <w:szCs w:val="24"/>
        </w:rPr>
        <w:t>1-3</w:t>
      </w:r>
      <w:r w:rsidRPr="00485687">
        <w:rPr>
          <w:rFonts w:ascii="Times New Roman" w:hAnsi="Times New Roman"/>
          <w:sz w:val="24"/>
          <w:szCs w:val="24"/>
        </w:rPr>
        <w:t>项时，须在备注中说明界定的相关商品市场和相关地域市场（无须阐述界定理由），以及相关市场份额；市场份额可以区间形式提供，区间幅度不应超过</w:t>
      </w:r>
      <w:r w:rsidRPr="00485687">
        <w:rPr>
          <w:rFonts w:ascii="Times New Roman" w:hAnsi="Times New Roman"/>
          <w:sz w:val="24"/>
          <w:szCs w:val="24"/>
        </w:rPr>
        <w:t>5%</w:t>
      </w:r>
      <w:r w:rsidRPr="00485687">
        <w:rPr>
          <w:rFonts w:ascii="Times New Roman" w:hAnsi="Times New Roman"/>
          <w:sz w:val="24"/>
          <w:szCs w:val="24"/>
        </w:rPr>
        <w:t>。</w:t>
      </w:r>
      <w:r w:rsidRPr="00485687">
        <w:rPr>
          <w:rFonts w:ascii="Times New Roman" w:hAnsi="Times New Roman"/>
          <w:sz w:val="24"/>
          <w:szCs w:val="24"/>
        </w:rPr>
        <w:t>1-3</w:t>
      </w:r>
      <w:r w:rsidRPr="00485687">
        <w:rPr>
          <w:rFonts w:ascii="Times New Roman" w:hAnsi="Times New Roman"/>
          <w:sz w:val="24"/>
          <w:szCs w:val="24"/>
        </w:rPr>
        <w:t>项可以多选，也可单选；没有勾选的，视为本集中不涉及该类型交易。</w:t>
      </w:r>
    </w:p>
    <w:p w14:paraId="417782E2" w14:textId="74C9A748" w:rsidR="00485687" w:rsidRPr="00485687" w:rsidRDefault="00485687" w:rsidP="00485687">
      <w:pPr>
        <w:spacing w:line="500" w:lineRule="exact"/>
        <w:rPr>
          <w:rFonts w:ascii="Times New Roman" w:hAnsi="Times New Roman"/>
          <w:sz w:val="24"/>
          <w:szCs w:val="24"/>
        </w:rPr>
      </w:pPr>
      <w:r w:rsidRPr="00485687">
        <w:rPr>
          <w:rFonts w:ascii="Times New Roman" w:hAnsi="Times New Roman"/>
          <w:sz w:val="24"/>
          <w:szCs w:val="24"/>
        </w:rPr>
        <w:t>2.</w:t>
      </w:r>
      <w:r w:rsidRPr="00485687">
        <w:rPr>
          <w:rFonts w:ascii="Times New Roman" w:hAnsi="Times New Roman"/>
          <w:sz w:val="24"/>
          <w:szCs w:val="24"/>
        </w:rPr>
        <w:t>申报方申请简易案件的理由是基于第</w:t>
      </w:r>
      <w:r w:rsidRPr="00485687">
        <w:rPr>
          <w:rFonts w:ascii="Times New Roman" w:hAnsi="Times New Roman"/>
          <w:sz w:val="24"/>
          <w:szCs w:val="24"/>
        </w:rPr>
        <w:t>4</w:t>
      </w:r>
      <w:r w:rsidRPr="00485687">
        <w:rPr>
          <w:rFonts w:ascii="Times New Roman" w:hAnsi="Times New Roman"/>
          <w:sz w:val="24"/>
          <w:szCs w:val="24"/>
        </w:rPr>
        <w:t>项、第</w:t>
      </w:r>
      <w:r w:rsidRPr="00485687">
        <w:rPr>
          <w:rFonts w:ascii="Times New Roman" w:hAnsi="Times New Roman"/>
          <w:sz w:val="24"/>
          <w:szCs w:val="24"/>
        </w:rPr>
        <w:t>5</w:t>
      </w:r>
      <w:r w:rsidRPr="00485687">
        <w:rPr>
          <w:rFonts w:ascii="Times New Roman" w:hAnsi="Times New Roman"/>
          <w:sz w:val="24"/>
          <w:szCs w:val="24"/>
        </w:rPr>
        <w:t>项时，无须在备注中说明相关市场和市场份额。</w:t>
      </w:r>
      <w:r>
        <w:rPr>
          <w:rFonts w:ascii="Times New Roman" w:hAnsi="Times New Roman"/>
          <w:sz w:val="24"/>
          <w:szCs w:val="24"/>
        </w:rPr>
        <w:br/>
      </w:r>
      <w:r w:rsidRPr="00485687">
        <w:rPr>
          <w:rFonts w:ascii="Times New Roman" w:hAnsi="Times New Roman"/>
          <w:sz w:val="24"/>
          <w:szCs w:val="24"/>
        </w:rPr>
        <w:t>3.</w:t>
      </w:r>
      <w:r w:rsidRPr="00485687">
        <w:rPr>
          <w:rFonts w:ascii="Times New Roman" w:hAnsi="Times New Roman"/>
          <w:sz w:val="24"/>
          <w:szCs w:val="24"/>
        </w:rPr>
        <w:t>由两个或两个以上经营者共同控制的合营企业，通过集中被其中的一个经营者控制，如果该经营者与合营企业属于同一相关市场的竞争者，则申报方在申请简易案件时，须同时勾选第</w:t>
      </w:r>
      <w:r w:rsidRPr="00485687">
        <w:rPr>
          <w:rFonts w:ascii="Times New Roman" w:hAnsi="Times New Roman"/>
          <w:sz w:val="24"/>
          <w:szCs w:val="24"/>
        </w:rPr>
        <w:t>1</w:t>
      </w:r>
      <w:r w:rsidRPr="00485687">
        <w:rPr>
          <w:rFonts w:ascii="Times New Roman" w:hAnsi="Times New Roman"/>
          <w:sz w:val="24"/>
          <w:szCs w:val="24"/>
        </w:rPr>
        <w:t>项和第</w:t>
      </w:r>
      <w:r w:rsidRPr="00485687">
        <w:rPr>
          <w:rFonts w:ascii="Times New Roman" w:hAnsi="Times New Roman"/>
          <w:sz w:val="24"/>
          <w:szCs w:val="24"/>
        </w:rPr>
        <w:t>6</w:t>
      </w:r>
      <w:r w:rsidRPr="00485687">
        <w:rPr>
          <w:rFonts w:ascii="Times New Roman" w:hAnsi="Times New Roman"/>
          <w:sz w:val="24"/>
          <w:szCs w:val="24"/>
        </w:rPr>
        <w:t>项理由，并在备注中说明界定的相关商品市场和相关地域市场（无须阐述界定理由），以及相关市场份额。市场份额可以区间形式提供，区间幅度不应超过</w:t>
      </w:r>
      <w:r w:rsidRPr="00485687">
        <w:rPr>
          <w:rFonts w:ascii="Times New Roman" w:hAnsi="Times New Roman"/>
          <w:sz w:val="24"/>
          <w:szCs w:val="24"/>
        </w:rPr>
        <w:t>5%</w:t>
      </w:r>
      <w:r w:rsidRPr="00485687">
        <w:rPr>
          <w:rFonts w:ascii="Times New Roman" w:hAnsi="Times New Roman"/>
          <w:sz w:val="24"/>
          <w:szCs w:val="24"/>
        </w:rPr>
        <w:t>。</w:t>
      </w:r>
    </w:p>
    <w:p w14:paraId="6C2F3445" w14:textId="77777777" w:rsidR="00485687" w:rsidRPr="00485687" w:rsidRDefault="00485687" w:rsidP="00F234B2">
      <w:pPr>
        <w:snapToGrid w:val="0"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sectPr w:rsidR="00485687" w:rsidRPr="00485687" w:rsidSect="00ED21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ACAC9" w14:textId="77777777" w:rsidR="005E5B91" w:rsidRDefault="005E5B91" w:rsidP="00094095">
      <w:r>
        <w:separator/>
      </w:r>
    </w:p>
  </w:endnote>
  <w:endnote w:type="continuationSeparator" w:id="0">
    <w:p w14:paraId="109B4ACD" w14:textId="77777777" w:rsidR="005E5B91" w:rsidRDefault="005E5B91" w:rsidP="000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3764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CC3D616" w14:textId="0E5F850E" w:rsidR="00B60E5E" w:rsidRPr="00B60E5E" w:rsidRDefault="00B60E5E">
            <w:pPr>
              <w:pStyle w:val="a7"/>
              <w:jc w:val="center"/>
              <w:rPr>
                <w:rFonts w:ascii="Times New Roman" w:hAnsi="Times New Roman"/>
              </w:rPr>
            </w:pPr>
            <w:r w:rsidRPr="00B60E5E">
              <w:rPr>
                <w:rFonts w:ascii="Times New Roman" w:hAnsi="Times New Roman"/>
                <w:lang w:val="zh-CN"/>
              </w:rPr>
              <w:t xml:space="preserve">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PAGE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23982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B60E5E">
              <w:rPr>
                <w:rFonts w:ascii="Times New Roman" w:hAnsi="Times New Roman"/>
                <w:lang w:val="zh-CN"/>
              </w:rPr>
              <w:t xml:space="preserve"> / 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B60E5E">
              <w:rPr>
                <w:rFonts w:ascii="Times New Roman" w:hAnsi="Times New Roman"/>
                <w:b/>
                <w:bCs/>
              </w:rPr>
              <w:instrText>NUMPAGES</w:instrTex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23982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B60E5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2B41" w14:textId="77777777" w:rsidR="00B60E5E" w:rsidRDefault="00B60E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49E7" w14:textId="77777777" w:rsidR="005E5B91" w:rsidRDefault="005E5B91" w:rsidP="00094095">
      <w:r>
        <w:separator/>
      </w:r>
    </w:p>
  </w:footnote>
  <w:footnote w:type="continuationSeparator" w:id="0">
    <w:p w14:paraId="71E22245" w14:textId="77777777" w:rsidR="005E5B91" w:rsidRDefault="005E5B91" w:rsidP="000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479"/>
    <w:multiLevelType w:val="hybridMultilevel"/>
    <w:tmpl w:val="5DCE0A60"/>
    <w:lvl w:ilvl="0" w:tplc="F3A2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F769BB"/>
    <w:multiLevelType w:val="hybridMultilevel"/>
    <w:tmpl w:val="BD4EDF36"/>
    <w:lvl w:ilvl="0" w:tplc="443AE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6A4903"/>
    <w:multiLevelType w:val="hybridMultilevel"/>
    <w:tmpl w:val="1EE6AE00"/>
    <w:lvl w:ilvl="0" w:tplc="9EC20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87CAE"/>
    <w:multiLevelType w:val="hybridMultilevel"/>
    <w:tmpl w:val="F4FAD824"/>
    <w:lvl w:ilvl="0" w:tplc="6D000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662F6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146160"/>
    <w:multiLevelType w:val="hybridMultilevel"/>
    <w:tmpl w:val="F702B9EE"/>
    <w:lvl w:ilvl="0" w:tplc="0A6407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0EF609C"/>
    <w:multiLevelType w:val="hybridMultilevel"/>
    <w:tmpl w:val="39086938"/>
    <w:lvl w:ilvl="0" w:tplc="61A0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A10AD1"/>
    <w:multiLevelType w:val="hybridMultilevel"/>
    <w:tmpl w:val="386AB256"/>
    <w:lvl w:ilvl="0" w:tplc="61403A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7E2DA0"/>
    <w:multiLevelType w:val="hybridMultilevel"/>
    <w:tmpl w:val="8C12FCDE"/>
    <w:lvl w:ilvl="0" w:tplc="DE26D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0C73BC"/>
    <w:multiLevelType w:val="hybridMultilevel"/>
    <w:tmpl w:val="A5541D4E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945147"/>
    <w:multiLevelType w:val="hybridMultilevel"/>
    <w:tmpl w:val="8DB6F9B4"/>
    <w:lvl w:ilvl="0" w:tplc="61403AC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C329CE"/>
    <w:multiLevelType w:val="hybridMultilevel"/>
    <w:tmpl w:val="29FC12A8"/>
    <w:lvl w:ilvl="0" w:tplc="D06A0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9C6ED4"/>
    <w:multiLevelType w:val="hybridMultilevel"/>
    <w:tmpl w:val="2990F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ED5A21"/>
    <w:multiLevelType w:val="hybridMultilevel"/>
    <w:tmpl w:val="DCEC0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E36D56"/>
    <w:multiLevelType w:val="hybridMultilevel"/>
    <w:tmpl w:val="8076CFA6"/>
    <w:lvl w:ilvl="0" w:tplc="CBFE46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E7107A7"/>
    <w:multiLevelType w:val="hybridMultilevel"/>
    <w:tmpl w:val="B15C9F64"/>
    <w:lvl w:ilvl="0" w:tplc="6D7A42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4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5"/>
    <w:rsid w:val="00005B69"/>
    <w:rsid w:val="00006080"/>
    <w:rsid w:val="0002587C"/>
    <w:rsid w:val="00036A9D"/>
    <w:rsid w:val="00037213"/>
    <w:rsid w:val="00045507"/>
    <w:rsid w:val="0005594E"/>
    <w:rsid w:val="00066E9A"/>
    <w:rsid w:val="0007651B"/>
    <w:rsid w:val="00082738"/>
    <w:rsid w:val="00087D30"/>
    <w:rsid w:val="000917F0"/>
    <w:rsid w:val="00094095"/>
    <w:rsid w:val="000A3CA7"/>
    <w:rsid w:val="000B0EC8"/>
    <w:rsid w:val="000C5BC7"/>
    <w:rsid w:val="000E7FC9"/>
    <w:rsid w:val="00100B60"/>
    <w:rsid w:val="00113543"/>
    <w:rsid w:val="00117B9E"/>
    <w:rsid w:val="00137BCF"/>
    <w:rsid w:val="001417D8"/>
    <w:rsid w:val="0015166A"/>
    <w:rsid w:val="00165964"/>
    <w:rsid w:val="001913F9"/>
    <w:rsid w:val="00192C2C"/>
    <w:rsid w:val="00193065"/>
    <w:rsid w:val="001A6CB8"/>
    <w:rsid w:val="001C1B23"/>
    <w:rsid w:val="001E393B"/>
    <w:rsid w:val="001E7C4B"/>
    <w:rsid w:val="0020313A"/>
    <w:rsid w:val="002128F6"/>
    <w:rsid w:val="002158DC"/>
    <w:rsid w:val="00233AB0"/>
    <w:rsid w:val="00245776"/>
    <w:rsid w:val="00262658"/>
    <w:rsid w:val="00266A6B"/>
    <w:rsid w:val="0029252D"/>
    <w:rsid w:val="002E2C9F"/>
    <w:rsid w:val="002E720A"/>
    <w:rsid w:val="002F2D60"/>
    <w:rsid w:val="00302FE1"/>
    <w:rsid w:val="003048E8"/>
    <w:rsid w:val="003061D7"/>
    <w:rsid w:val="00307976"/>
    <w:rsid w:val="0031093F"/>
    <w:rsid w:val="003145BC"/>
    <w:rsid w:val="00316B15"/>
    <w:rsid w:val="0032355A"/>
    <w:rsid w:val="003C306B"/>
    <w:rsid w:val="003C75D7"/>
    <w:rsid w:val="003D3128"/>
    <w:rsid w:val="003D60DB"/>
    <w:rsid w:val="003F170C"/>
    <w:rsid w:val="004030E1"/>
    <w:rsid w:val="00427074"/>
    <w:rsid w:val="00445F6B"/>
    <w:rsid w:val="00462174"/>
    <w:rsid w:val="00485687"/>
    <w:rsid w:val="00497E7B"/>
    <w:rsid w:val="004B00C8"/>
    <w:rsid w:val="004B3A56"/>
    <w:rsid w:val="004C2586"/>
    <w:rsid w:val="00507D9C"/>
    <w:rsid w:val="00525467"/>
    <w:rsid w:val="00527F6A"/>
    <w:rsid w:val="00557102"/>
    <w:rsid w:val="00563A4C"/>
    <w:rsid w:val="00566CC7"/>
    <w:rsid w:val="00574B4E"/>
    <w:rsid w:val="00574F2D"/>
    <w:rsid w:val="0058057F"/>
    <w:rsid w:val="005830FE"/>
    <w:rsid w:val="005B533D"/>
    <w:rsid w:val="005C3D32"/>
    <w:rsid w:val="005D087D"/>
    <w:rsid w:val="005D1309"/>
    <w:rsid w:val="005D1B7F"/>
    <w:rsid w:val="005E5B91"/>
    <w:rsid w:val="005F167B"/>
    <w:rsid w:val="005F5FFA"/>
    <w:rsid w:val="006113D3"/>
    <w:rsid w:val="00616F24"/>
    <w:rsid w:val="006300C0"/>
    <w:rsid w:val="006408AB"/>
    <w:rsid w:val="006447F2"/>
    <w:rsid w:val="00644C5B"/>
    <w:rsid w:val="00645D6F"/>
    <w:rsid w:val="006670A5"/>
    <w:rsid w:val="0067330C"/>
    <w:rsid w:val="00675286"/>
    <w:rsid w:val="00692DA5"/>
    <w:rsid w:val="006A4D58"/>
    <w:rsid w:val="006A4F76"/>
    <w:rsid w:val="006A5728"/>
    <w:rsid w:val="006B49BF"/>
    <w:rsid w:val="006D0734"/>
    <w:rsid w:val="006D6449"/>
    <w:rsid w:val="006E4C68"/>
    <w:rsid w:val="00720227"/>
    <w:rsid w:val="00720679"/>
    <w:rsid w:val="00734239"/>
    <w:rsid w:val="007364E2"/>
    <w:rsid w:val="0074694B"/>
    <w:rsid w:val="007543A3"/>
    <w:rsid w:val="00785C5F"/>
    <w:rsid w:val="007A0249"/>
    <w:rsid w:val="007C000E"/>
    <w:rsid w:val="007C7803"/>
    <w:rsid w:val="008010AD"/>
    <w:rsid w:val="0080386C"/>
    <w:rsid w:val="008110BD"/>
    <w:rsid w:val="00823982"/>
    <w:rsid w:val="008354FF"/>
    <w:rsid w:val="0084303C"/>
    <w:rsid w:val="0084728A"/>
    <w:rsid w:val="008736FC"/>
    <w:rsid w:val="008750C5"/>
    <w:rsid w:val="008764AD"/>
    <w:rsid w:val="00877D76"/>
    <w:rsid w:val="00885D99"/>
    <w:rsid w:val="008926BD"/>
    <w:rsid w:val="0089745C"/>
    <w:rsid w:val="008A3C11"/>
    <w:rsid w:val="008A7ED7"/>
    <w:rsid w:val="008C10CC"/>
    <w:rsid w:val="008E44E6"/>
    <w:rsid w:val="008E5AC1"/>
    <w:rsid w:val="008F634B"/>
    <w:rsid w:val="00900557"/>
    <w:rsid w:val="009134D0"/>
    <w:rsid w:val="0093344B"/>
    <w:rsid w:val="0095347A"/>
    <w:rsid w:val="009733B4"/>
    <w:rsid w:val="0097529A"/>
    <w:rsid w:val="00997099"/>
    <w:rsid w:val="009A7BF2"/>
    <w:rsid w:val="009B22D1"/>
    <w:rsid w:val="009B5555"/>
    <w:rsid w:val="009C1D9D"/>
    <w:rsid w:val="009C5ACB"/>
    <w:rsid w:val="009E544B"/>
    <w:rsid w:val="009F7FE9"/>
    <w:rsid w:val="00A042B2"/>
    <w:rsid w:val="00A43A3E"/>
    <w:rsid w:val="00A67610"/>
    <w:rsid w:val="00A73519"/>
    <w:rsid w:val="00A73EC0"/>
    <w:rsid w:val="00A77BD3"/>
    <w:rsid w:val="00AA1A78"/>
    <w:rsid w:val="00AB1BC4"/>
    <w:rsid w:val="00AD646B"/>
    <w:rsid w:val="00AE4C10"/>
    <w:rsid w:val="00B01090"/>
    <w:rsid w:val="00B34D88"/>
    <w:rsid w:val="00B357DC"/>
    <w:rsid w:val="00B60E5E"/>
    <w:rsid w:val="00B8768F"/>
    <w:rsid w:val="00BA0750"/>
    <w:rsid w:val="00BA16D2"/>
    <w:rsid w:val="00BA4F7F"/>
    <w:rsid w:val="00BA6F07"/>
    <w:rsid w:val="00BA7437"/>
    <w:rsid w:val="00BB2377"/>
    <w:rsid w:val="00BB3798"/>
    <w:rsid w:val="00BB4C43"/>
    <w:rsid w:val="00BC44C2"/>
    <w:rsid w:val="00BC6BEF"/>
    <w:rsid w:val="00BC768A"/>
    <w:rsid w:val="00BD3D34"/>
    <w:rsid w:val="00BD6EBE"/>
    <w:rsid w:val="00BF0D84"/>
    <w:rsid w:val="00BF6C60"/>
    <w:rsid w:val="00BF7F17"/>
    <w:rsid w:val="00C068D5"/>
    <w:rsid w:val="00C20325"/>
    <w:rsid w:val="00C30030"/>
    <w:rsid w:val="00C318CE"/>
    <w:rsid w:val="00C52346"/>
    <w:rsid w:val="00C75B25"/>
    <w:rsid w:val="00C76979"/>
    <w:rsid w:val="00C76F0E"/>
    <w:rsid w:val="00C8184D"/>
    <w:rsid w:val="00C84314"/>
    <w:rsid w:val="00C9068E"/>
    <w:rsid w:val="00CD148B"/>
    <w:rsid w:val="00CD25EE"/>
    <w:rsid w:val="00CD2BEC"/>
    <w:rsid w:val="00D001A9"/>
    <w:rsid w:val="00D11610"/>
    <w:rsid w:val="00D21777"/>
    <w:rsid w:val="00D2453A"/>
    <w:rsid w:val="00D370A7"/>
    <w:rsid w:val="00D451A4"/>
    <w:rsid w:val="00D515E7"/>
    <w:rsid w:val="00D73A38"/>
    <w:rsid w:val="00DA3B19"/>
    <w:rsid w:val="00DC70AB"/>
    <w:rsid w:val="00DD1C7B"/>
    <w:rsid w:val="00DE39D7"/>
    <w:rsid w:val="00DE7DBD"/>
    <w:rsid w:val="00DF4BCE"/>
    <w:rsid w:val="00E11C0D"/>
    <w:rsid w:val="00E1347C"/>
    <w:rsid w:val="00E21F07"/>
    <w:rsid w:val="00E25016"/>
    <w:rsid w:val="00E32A0C"/>
    <w:rsid w:val="00E34BA1"/>
    <w:rsid w:val="00E54B29"/>
    <w:rsid w:val="00E85DDF"/>
    <w:rsid w:val="00EB0EE6"/>
    <w:rsid w:val="00EC669A"/>
    <w:rsid w:val="00ED21B1"/>
    <w:rsid w:val="00ED4254"/>
    <w:rsid w:val="00EE2784"/>
    <w:rsid w:val="00EE4AF0"/>
    <w:rsid w:val="00F16269"/>
    <w:rsid w:val="00F234B2"/>
    <w:rsid w:val="00F26A0F"/>
    <w:rsid w:val="00F418F4"/>
    <w:rsid w:val="00F41E5F"/>
    <w:rsid w:val="00F42BAC"/>
    <w:rsid w:val="00F5086B"/>
    <w:rsid w:val="00F87C1F"/>
    <w:rsid w:val="00FD4A2C"/>
    <w:rsid w:val="00FE3C66"/>
    <w:rsid w:val="00FE4CAC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B6D97"/>
  <w15:chartTrackingRefBased/>
  <w15:docId w15:val="{78C34510-C326-4F87-85E8-29669BE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094095"/>
    <w:pPr>
      <w:snapToGrid w:val="0"/>
      <w:jc w:val="left"/>
    </w:pPr>
  </w:style>
  <w:style w:type="character" w:customStyle="1" w:styleId="Char">
    <w:name w:val="尾注文本 Char"/>
    <w:basedOn w:val="a0"/>
    <w:link w:val="a4"/>
    <w:uiPriority w:val="99"/>
    <w:semiHidden/>
    <w:rsid w:val="00094095"/>
  </w:style>
  <w:style w:type="character" w:styleId="a5">
    <w:name w:val="endnote reference"/>
    <w:uiPriority w:val="99"/>
    <w:semiHidden/>
    <w:unhideWhenUsed/>
    <w:rsid w:val="00094095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D2177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D2177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E2784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E278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A7437"/>
    <w:pPr>
      <w:ind w:firstLineChars="200" w:firstLine="420"/>
    </w:pPr>
  </w:style>
  <w:style w:type="paragraph" w:styleId="a9">
    <w:name w:val="List Paragraph"/>
    <w:basedOn w:val="a"/>
    <w:uiPriority w:val="34"/>
    <w:qFormat/>
    <w:rsid w:val="000E7FC9"/>
    <w:pPr>
      <w:ind w:firstLineChars="200" w:firstLine="420"/>
    </w:pPr>
  </w:style>
  <w:style w:type="paragraph" w:styleId="aa">
    <w:name w:val="footnote text"/>
    <w:basedOn w:val="a"/>
    <w:link w:val="Char3"/>
    <w:uiPriority w:val="99"/>
    <w:semiHidden/>
    <w:rsid w:val="00D001A9"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character" w:customStyle="1" w:styleId="Char3">
    <w:name w:val="脚注文本 Char"/>
    <w:link w:val="aa"/>
    <w:uiPriority w:val="99"/>
    <w:semiHidden/>
    <w:rsid w:val="00D001A9"/>
    <w:rPr>
      <w:rFonts w:ascii="Times New Roman" w:eastAsia="PMingLiU" w:hAnsi="Times New Roman"/>
      <w:kern w:val="2"/>
      <w:lang w:eastAsia="zh-TW"/>
    </w:rPr>
  </w:style>
  <w:style w:type="character" w:styleId="ab">
    <w:name w:val="footnote reference"/>
    <w:uiPriority w:val="99"/>
    <w:semiHidden/>
    <w:unhideWhenUsed/>
    <w:rsid w:val="0074694B"/>
    <w:rPr>
      <w:vertAlign w:val="superscript"/>
    </w:rPr>
  </w:style>
  <w:style w:type="character" w:styleId="ac">
    <w:name w:val="annotation reference"/>
    <w:basedOn w:val="a0"/>
    <w:unhideWhenUsed/>
    <w:rsid w:val="00BA6F07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BA6F07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BA6F07"/>
    <w:rPr>
      <w:kern w:val="2"/>
      <w:sz w:val="21"/>
      <w:szCs w:val="22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BA6F07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BA6F0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F918-6DA5-4F54-8160-3C5BE712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新日鐵住金株式会社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Jun He</cp:lastModifiedBy>
  <cp:revision>15</cp:revision>
  <cp:lastPrinted>2017-01-18T07:04:00Z</cp:lastPrinted>
  <dcterms:created xsi:type="dcterms:W3CDTF">2021-10-28T09:00:00Z</dcterms:created>
  <dcterms:modified xsi:type="dcterms:W3CDTF">2021-12-20T02:04:00Z</dcterms:modified>
</cp:coreProperties>
</file>