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经营者集中简易案件公示表</w:t>
      </w:r>
    </w:p>
    <w:p>
      <w:pPr>
        <w:spacing w:line="4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9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796"/>
        <w:gridCol w:w="4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D9D9D9"/>
          </w:tcPr>
          <w:p>
            <w:pPr>
              <w:spacing w:line="500" w:lineRule="exact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案件名称</w:t>
            </w:r>
          </w:p>
        </w:tc>
        <w:tc>
          <w:tcPr>
            <w:tcW w:w="6550" w:type="dxa"/>
            <w:gridSpan w:val="2"/>
            <w:shd w:val="clear" w:color="auto" w:fill="auto"/>
            <w:vAlign w:val="center"/>
          </w:tcPr>
          <w:p>
            <w:pPr>
              <w:spacing w:before="156" w:beforeLines="50" w:after="156" w:afterLines="5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 w:cs="宋体"/>
                <w:kern w:val="0"/>
                <w:szCs w:val="21"/>
              </w:rPr>
              <w:t>不二制油集团控股株式会社与伊藤忠商事株式会社新设合营企业案（“</w:t>
            </w:r>
            <w:r>
              <w:rPr>
                <w:rFonts w:hint="eastAsia" w:ascii="Times New Roman" w:hAnsi="Times New Roman" w:cs="宋体"/>
                <w:b/>
                <w:bCs/>
                <w:kern w:val="0"/>
                <w:szCs w:val="21"/>
              </w:rPr>
              <w:t>拟议交易</w:t>
            </w:r>
            <w:r>
              <w:rPr>
                <w:rFonts w:hint="eastAsia" w:ascii="Times New Roman" w:hAnsi="Times New Roman" w:cs="宋体"/>
                <w:kern w:val="0"/>
                <w:szCs w:val="21"/>
              </w:rPr>
              <w:t>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1809" w:type="dxa"/>
            <w:shd w:val="clear" w:color="auto" w:fill="D9D9D9"/>
          </w:tcPr>
          <w:p>
            <w:pPr>
              <w:spacing w:line="500" w:lineRule="exact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交易概况（限200字内）</w:t>
            </w:r>
          </w:p>
        </w:tc>
        <w:tc>
          <w:tcPr>
            <w:tcW w:w="6550" w:type="dxa"/>
            <w:gridSpan w:val="2"/>
          </w:tcPr>
          <w:p>
            <w:pPr>
              <w:spacing w:before="156" w:beforeLines="50" w:after="156" w:afterLines="5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szCs w:val="24"/>
              </w:rPr>
              <w:t>拟议交易涉及不二制油集团控股株式会社（</w:t>
            </w:r>
            <w:r>
              <w:rPr>
                <w:rFonts w:hint="eastAsia" w:ascii="Times New Roman" w:hAnsi="Times New Roman"/>
                <w:szCs w:val="24"/>
              </w:rPr>
              <w:t>“</w:t>
            </w:r>
            <w:r>
              <w:rPr>
                <w:rFonts w:ascii="Times New Roman" w:hAnsi="Times New Roman"/>
                <w:b/>
                <w:szCs w:val="24"/>
              </w:rPr>
              <w:t>不二制油</w:t>
            </w:r>
            <w:r>
              <w:rPr>
                <w:rFonts w:hint="eastAsia" w:ascii="Times New Roman" w:hAnsi="Times New Roman"/>
                <w:szCs w:val="24"/>
              </w:rPr>
              <w:t>”</w:t>
            </w:r>
            <w:r>
              <w:rPr>
                <w:rFonts w:ascii="Times New Roman" w:hAnsi="Times New Roman"/>
                <w:szCs w:val="24"/>
              </w:rPr>
              <w:t>，通过其全资子公司不二美洲有限公司（</w:t>
            </w:r>
            <w:r>
              <w:rPr>
                <w:rFonts w:hint="eastAsia" w:ascii="Times New Roman" w:hAnsi="Times New Roman"/>
                <w:szCs w:val="24"/>
              </w:rPr>
              <w:t>“</w:t>
            </w:r>
            <w:r>
              <w:rPr>
                <w:rFonts w:ascii="Times New Roman" w:hAnsi="Times New Roman"/>
                <w:b/>
                <w:szCs w:val="24"/>
              </w:rPr>
              <w:t>不二美洲</w:t>
            </w:r>
            <w:r>
              <w:rPr>
                <w:rFonts w:hint="eastAsia" w:ascii="Times New Roman" w:hAnsi="Times New Roman"/>
                <w:szCs w:val="24"/>
              </w:rPr>
              <w:t>”</w:t>
            </w:r>
            <w:r>
              <w:rPr>
                <w:rFonts w:ascii="Times New Roman" w:hAnsi="Times New Roman"/>
                <w:szCs w:val="24"/>
              </w:rPr>
              <w:t>））和</w:t>
            </w:r>
            <w:r>
              <w:rPr>
                <w:rFonts w:hint="eastAsia" w:ascii="Times New Roman" w:hAnsi="Times New Roman"/>
                <w:szCs w:val="24"/>
              </w:rPr>
              <w:t>伊藤忠商事株式会社（“</w:t>
            </w:r>
            <w:r>
              <w:rPr>
                <w:rFonts w:hint="eastAsia" w:ascii="Times New Roman" w:hAnsi="Times New Roman"/>
                <w:b/>
                <w:szCs w:val="24"/>
              </w:rPr>
              <w:t>伊藤忠</w:t>
            </w:r>
            <w:r>
              <w:rPr>
                <w:rFonts w:hint="eastAsia" w:ascii="Times New Roman" w:hAnsi="Times New Roman"/>
                <w:szCs w:val="24"/>
              </w:rPr>
              <w:t>”，通过其全资子公司伊藤忠国际股份有限公司（“</w:t>
            </w:r>
            <w:r>
              <w:rPr>
                <w:rFonts w:hint="eastAsia" w:ascii="Times New Roman" w:hAnsi="Times New Roman"/>
                <w:b/>
                <w:szCs w:val="24"/>
              </w:rPr>
              <w:t>伊藤忠国际</w:t>
            </w:r>
            <w:r>
              <w:rPr>
                <w:rFonts w:hint="eastAsia" w:ascii="Times New Roman" w:hAnsi="Times New Roman"/>
                <w:szCs w:val="24"/>
              </w:rPr>
              <w:t>”））拟在北美新设合营企业（“</w:t>
            </w:r>
            <w:r>
              <w:rPr>
                <w:rFonts w:hint="eastAsia" w:ascii="Times New Roman" w:hAnsi="Times New Roman"/>
                <w:b/>
                <w:szCs w:val="24"/>
              </w:rPr>
              <w:t>合营企业</w:t>
            </w:r>
            <w:r>
              <w:rPr>
                <w:rFonts w:hint="eastAsia" w:ascii="Times New Roman" w:hAnsi="Times New Roman"/>
                <w:szCs w:val="24"/>
              </w:rPr>
              <w:t>”），</w:t>
            </w:r>
            <w:r>
              <w:rPr>
                <w:rFonts w:hint="eastAsia" w:ascii="Times" w:hAnsi="Times" w:cs="Arial"/>
                <w:szCs w:val="21"/>
              </w:rPr>
              <w:t>以整合各自的植物油业务子公司</w:t>
            </w:r>
            <w:r>
              <w:rPr>
                <w:rFonts w:hint="eastAsia" w:ascii="Times New Roman" w:hAnsi="Times New Roman"/>
                <w:szCs w:val="24"/>
              </w:rPr>
              <w:t>。拟议交易完成后，合营企业将由不二美洲和伊藤忠国际按80:20的比例持有，并由他们共同控制。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809" w:type="dxa"/>
            <w:vMerge w:val="restart"/>
            <w:shd w:val="clear" w:color="auto" w:fill="D9D9D9"/>
          </w:tcPr>
          <w:p>
            <w:pPr>
              <w:spacing w:line="500" w:lineRule="exact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参与集中的经营者简介</w:t>
            </w:r>
          </w:p>
        </w:tc>
        <w:tc>
          <w:tcPr>
            <w:tcW w:w="1796" w:type="dxa"/>
          </w:tcPr>
          <w:p>
            <w:pPr>
              <w:pStyle w:val="20"/>
              <w:numPr>
                <w:ilvl w:val="0"/>
                <w:numId w:val="1"/>
              </w:numPr>
              <w:spacing w:before="156" w:beforeLines="50" w:after="156" w:afterLines="50"/>
              <w:ind w:firstLineChars="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不二制油</w:t>
            </w:r>
          </w:p>
        </w:tc>
        <w:tc>
          <w:tcPr>
            <w:tcW w:w="4754" w:type="dxa"/>
          </w:tcPr>
          <w:p>
            <w:pPr>
              <w:spacing w:before="156" w:beforeLines="50" w:after="156" w:afterLines="5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不二制油于1</w:t>
            </w:r>
            <w:r>
              <w:rPr>
                <w:rFonts w:ascii="Times New Roman" w:hAnsi="Times New Roman"/>
                <w:szCs w:val="21"/>
              </w:rPr>
              <w:t>950</w:t>
            </w:r>
            <w:r>
              <w:rPr>
                <w:rFonts w:hint="eastAsia" w:ascii="Times New Roman" w:hAnsi="Times New Roman"/>
                <w:szCs w:val="21"/>
              </w:rPr>
              <w:t>年1</w:t>
            </w:r>
            <w:r>
              <w:rPr>
                <w:rFonts w:ascii="Times New Roman" w:hAnsi="Times New Roman"/>
                <w:szCs w:val="21"/>
              </w:rPr>
              <w:t>0</w:t>
            </w:r>
            <w:r>
              <w:rPr>
                <w:rFonts w:hint="eastAsia" w:ascii="Times New Roman" w:hAnsi="Times New Roman"/>
                <w:szCs w:val="21"/>
              </w:rPr>
              <w:t>月成立于日本，是一家食品公司，主要产品包括植物油和脂肪，工业级巧克力，乳化和发酵配料，和大豆配料等。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809" w:type="dxa"/>
            <w:vMerge w:val="continue"/>
            <w:shd w:val="clear" w:color="auto" w:fill="D9D9D9"/>
          </w:tcPr>
          <w:p>
            <w:pPr>
              <w:spacing w:line="5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6" w:type="dxa"/>
          </w:tcPr>
          <w:p>
            <w:pPr>
              <w:pStyle w:val="20"/>
              <w:numPr>
                <w:ilvl w:val="0"/>
                <w:numId w:val="1"/>
              </w:numPr>
              <w:spacing w:before="156" w:beforeLines="50" w:after="156" w:afterLines="50"/>
              <w:ind w:firstLineChars="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伊藤忠</w:t>
            </w:r>
          </w:p>
        </w:tc>
        <w:tc>
          <w:tcPr>
            <w:tcW w:w="4754" w:type="dxa"/>
          </w:tcPr>
          <w:p>
            <w:pPr>
              <w:spacing w:before="156" w:beforeLines="50" w:after="156" w:afterLines="5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伊藤忠于</w:t>
            </w:r>
            <w:r>
              <w:rPr>
                <w:rFonts w:ascii="Times New Roman" w:hAnsi="Times New Roman"/>
                <w:color w:val="000000"/>
                <w:szCs w:val="21"/>
              </w:rPr>
              <w:t>1949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年</w:t>
            </w:r>
            <w:r>
              <w:rPr>
                <w:rFonts w:ascii="Times New Roman" w:hAnsi="Times New Roman"/>
                <w:color w:val="000000"/>
                <w:szCs w:val="21"/>
              </w:rPr>
              <w:t>12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月成立于日本，是一家大型综合贸易公司，业务领域包括纤维、机械、金属、能源、化工、粮油食品、住房、信息和通信、金融。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809" w:type="dxa"/>
            <w:vMerge w:val="restart"/>
            <w:shd w:val="clear" w:color="auto" w:fill="D9D9D9"/>
          </w:tcPr>
          <w:p>
            <w:pPr>
              <w:spacing w:line="500" w:lineRule="exact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简易案件理由（可以单选，也可以多选）</w:t>
            </w:r>
          </w:p>
        </w:tc>
        <w:tc>
          <w:tcPr>
            <w:tcW w:w="6550" w:type="dxa"/>
            <w:gridSpan w:val="2"/>
          </w:tcPr>
          <w:p>
            <w:pPr>
              <w:spacing w:line="5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Arial"/>
                <w:szCs w:val="21"/>
                <w:lang w:val="en-GB"/>
              </w:rPr>
              <w:sym w:font="Wingdings" w:char="F0A8"/>
            </w:r>
            <w:r>
              <w:rPr>
                <w:rFonts w:ascii="Times New Roman" w:hAnsi="Times New Roman"/>
                <w:szCs w:val="21"/>
              </w:rPr>
              <w:t>1、在同一相关市场，所有参与集中的经营者所占市场份额之和小于15%。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Merge w:val="continue"/>
            <w:shd w:val="clear" w:color="auto" w:fill="D9D9D9"/>
          </w:tcPr>
          <w:p>
            <w:pPr>
              <w:spacing w:line="5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6550" w:type="dxa"/>
            <w:gridSpan w:val="2"/>
          </w:tcPr>
          <w:p>
            <w:pPr>
              <w:spacing w:line="5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Arial"/>
                <w:szCs w:val="21"/>
                <w:lang w:val="en-GB"/>
              </w:rPr>
              <w:sym w:font="Wingdings" w:char="F0A8"/>
            </w:r>
            <w:r>
              <w:rPr>
                <w:rFonts w:ascii="Times New Roman" w:hAnsi="Times New Roman" w:cs="Arial"/>
                <w:szCs w:val="21"/>
                <w:lang w:val="en-GB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2、存在上下游关系的参与集中的经营者，在上下游市场所占的市场份额均小于25%。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09" w:type="dxa"/>
            <w:vMerge w:val="continue"/>
            <w:shd w:val="clear" w:color="auto" w:fill="D9D9D9"/>
          </w:tcPr>
          <w:p>
            <w:pPr>
              <w:spacing w:line="5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6550" w:type="dxa"/>
            <w:gridSpan w:val="2"/>
          </w:tcPr>
          <w:p>
            <w:pPr>
              <w:spacing w:line="5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Arial"/>
                <w:szCs w:val="21"/>
                <w:lang w:val="en-GB"/>
              </w:rPr>
              <w:sym w:font="Wingdings" w:char="F0A8"/>
            </w:r>
            <w:r>
              <w:rPr>
                <w:rFonts w:ascii="Times New Roman" w:hAnsi="Times New Roman"/>
                <w:szCs w:val="21"/>
              </w:rPr>
              <w:t>3、不在同一相关市场、也不存在上下游关系的参与集中的经营者，在与交易有关的每个市场所占的份额均小于25%。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809" w:type="dxa"/>
            <w:vMerge w:val="continue"/>
            <w:shd w:val="clear" w:color="auto" w:fill="D9D9D9"/>
          </w:tcPr>
          <w:p>
            <w:pPr>
              <w:spacing w:line="5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6550" w:type="dxa"/>
            <w:gridSpan w:val="2"/>
          </w:tcPr>
          <w:p>
            <w:pPr>
              <w:spacing w:line="500" w:lineRule="exact"/>
              <w:rPr>
                <w:rFonts w:ascii="Times New Roman" w:hAnsi="Times New Roman"/>
                <w:szCs w:val="21"/>
              </w:rPr>
            </w:pPr>
            <w:r>
              <w:rPr>
                <w:szCs w:val="21"/>
              </w:rPr>
              <w:sym w:font="Wingdings" w:char="F0FE"/>
            </w:r>
            <w:r>
              <w:rPr>
                <w:rFonts w:ascii="Times New Roman" w:hAnsi="Times New Roman"/>
                <w:szCs w:val="21"/>
              </w:rPr>
              <w:t>4、参与集中的经营者在中国境外设立合营企业，合营企业不在中国境内从事经济活动。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809" w:type="dxa"/>
            <w:vMerge w:val="continue"/>
            <w:shd w:val="clear" w:color="auto" w:fill="D9D9D9"/>
          </w:tcPr>
          <w:p>
            <w:pPr>
              <w:spacing w:line="5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6550" w:type="dxa"/>
            <w:gridSpan w:val="2"/>
          </w:tcPr>
          <w:p>
            <w:pPr>
              <w:spacing w:line="5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Arial"/>
                <w:szCs w:val="21"/>
                <w:lang w:val="en-GB"/>
              </w:rPr>
              <w:sym w:font="Wingdings" w:char="F0A8"/>
            </w:r>
            <w:r>
              <w:rPr>
                <w:rFonts w:ascii="Times New Roman" w:hAnsi="Times New Roman"/>
                <w:szCs w:val="21"/>
              </w:rPr>
              <w:t>5、参与集中的经营者收购境外企业股权或资产的，该境外企业不在中国境内从事经济活动。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809" w:type="dxa"/>
            <w:vMerge w:val="continue"/>
            <w:shd w:val="clear" w:color="auto" w:fill="D9D9D9"/>
          </w:tcPr>
          <w:p>
            <w:pPr>
              <w:spacing w:line="5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6550" w:type="dxa"/>
            <w:gridSpan w:val="2"/>
          </w:tcPr>
          <w:p>
            <w:pPr>
              <w:spacing w:line="5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Arial"/>
                <w:szCs w:val="21"/>
                <w:lang w:val="en-GB"/>
              </w:rPr>
              <w:sym w:font="Wingdings" w:char="F0A8"/>
            </w:r>
            <w:r>
              <w:rPr>
                <w:rFonts w:ascii="Times New Roman" w:hAnsi="Times New Roman"/>
                <w:szCs w:val="21"/>
              </w:rPr>
              <w:t>6、由两个以上的经营者共同控制的合营企业，通过集中被其中一个或一个以上经营者控制。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809" w:type="dxa"/>
            <w:shd w:val="clear" w:color="auto" w:fill="D9D9D9"/>
          </w:tcPr>
          <w:p>
            <w:pPr>
              <w:spacing w:line="500" w:lineRule="exact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备注</w:t>
            </w:r>
          </w:p>
        </w:tc>
        <w:tc>
          <w:tcPr>
            <w:tcW w:w="6550" w:type="dxa"/>
            <w:gridSpan w:val="2"/>
          </w:tcPr>
          <w:p>
            <w:pPr>
              <w:widowControl/>
              <w:snapToGrid w:val="0"/>
              <w:spacing w:before="156" w:beforeLines="5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不适用</w:t>
            </w:r>
            <w:bookmarkStart w:id="0" w:name="_GoBack"/>
            <w:bookmarkEnd w:id="0"/>
          </w:p>
        </w:tc>
      </w:tr>
    </w:tbl>
    <w:p>
      <w:pPr>
        <w:snapToGrid w:val="0"/>
        <w:spacing w:line="240" w:lineRule="exact"/>
        <w:jc w:val="left"/>
        <w:rPr>
          <w:rFonts w:ascii="Times New Roman" w:hAnsi="Times New Roman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MingLiU">
    <w:altName w:val="Droid Sans Fallback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Times">
    <w:altName w:val="DejaVu Sans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Arial">
    <w:altName w:val="Times New Roman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89376438"/>
      <w:docPartObj>
        <w:docPartGallery w:val="AutoText"/>
      </w:docPartObj>
    </w:sdtPr>
    <w:sdtEndPr>
      <w:rPr>
        <w:rFonts w:ascii="Times New Roman" w:hAnsi="Times New Roman"/>
      </w:rPr>
    </w:sdtEndPr>
    <w:sdtContent>
      <w:sdt>
        <w:sdtPr>
          <w:id w:val="1728636285"/>
          <w:docPartObj>
            <w:docPartGallery w:val="AutoText"/>
          </w:docPartObj>
        </w:sdtPr>
        <w:sdtEndPr>
          <w:rPr>
            <w:rFonts w:ascii="Times New Roman" w:hAnsi="Times New Roman"/>
          </w:rPr>
        </w:sdtEndPr>
        <w:sdtContent>
          <w:p>
            <w:pPr>
              <w:pStyle w:val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zh-CN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b/>
                <w:bCs/>
              </w:rPr>
              <w:instrText xml:space="preserve">PAGE</w:instrTex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lang w:val="zh-CN"/>
              </w:rPr>
              <w:t xml:space="preserve"> /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b/>
                <w:bCs/>
              </w:rPr>
              <w:instrText xml:space="preserve">NUMPAGES</w:instrTex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6A4903"/>
    <w:multiLevelType w:val="multilevel"/>
    <w:tmpl w:val="1C6A4903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95"/>
    <w:rsid w:val="00005B69"/>
    <w:rsid w:val="00006080"/>
    <w:rsid w:val="0002587C"/>
    <w:rsid w:val="00045507"/>
    <w:rsid w:val="0005594E"/>
    <w:rsid w:val="00082738"/>
    <w:rsid w:val="00087D30"/>
    <w:rsid w:val="000917F0"/>
    <w:rsid w:val="00094095"/>
    <w:rsid w:val="000A3CA7"/>
    <w:rsid w:val="000B0EC8"/>
    <w:rsid w:val="000C5BC7"/>
    <w:rsid w:val="000E7FC9"/>
    <w:rsid w:val="000F74C0"/>
    <w:rsid w:val="00100B60"/>
    <w:rsid w:val="00113543"/>
    <w:rsid w:val="00117B9E"/>
    <w:rsid w:val="00137BCF"/>
    <w:rsid w:val="001417D8"/>
    <w:rsid w:val="00165964"/>
    <w:rsid w:val="001913F9"/>
    <w:rsid w:val="00192C2C"/>
    <w:rsid w:val="00193065"/>
    <w:rsid w:val="001C1B23"/>
    <w:rsid w:val="001E393B"/>
    <w:rsid w:val="0020313A"/>
    <w:rsid w:val="002128F6"/>
    <w:rsid w:val="002158DC"/>
    <w:rsid w:val="00233AB0"/>
    <w:rsid w:val="00245776"/>
    <w:rsid w:val="00262658"/>
    <w:rsid w:val="00266A6B"/>
    <w:rsid w:val="0029252D"/>
    <w:rsid w:val="002E2C9F"/>
    <w:rsid w:val="002E720A"/>
    <w:rsid w:val="002F2D60"/>
    <w:rsid w:val="00302FE1"/>
    <w:rsid w:val="003048E8"/>
    <w:rsid w:val="003061D7"/>
    <w:rsid w:val="00307976"/>
    <w:rsid w:val="0031093F"/>
    <w:rsid w:val="003145BC"/>
    <w:rsid w:val="00316B15"/>
    <w:rsid w:val="0032355A"/>
    <w:rsid w:val="00370E12"/>
    <w:rsid w:val="003C306B"/>
    <w:rsid w:val="003C75D7"/>
    <w:rsid w:val="003D3128"/>
    <w:rsid w:val="003D60DB"/>
    <w:rsid w:val="003F170C"/>
    <w:rsid w:val="004030E1"/>
    <w:rsid w:val="00427074"/>
    <w:rsid w:val="00445F6B"/>
    <w:rsid w:val="00462174"/>
    <w:rsid w:val="004B00C8"/>
    <w:rsid w:val="004B3A56"/>
    <w:rsid w:val="004C2586"/>
    <w:rsid w:val="00507D9C"/>
    <w:rsid w:val="005227F4"/>
    <w:rsid w:val="00557102"/>
    <w:rsid w:val="00563A4C"/>
    <w:rsid w:val="00566CC7"/>
    <w:rsid w:val="00574F2D"/>
    <w:rsid w:val="005B533D"/>
    <w:rsid w:val="005C3D32"/>
    <w:rsid w:val="005D1309"/>
    <w:rsid w:val="005D1B7F"/>
    <w:rsid w:val="005F167B"/>
    <w:rsid w:val="005F5FFA"/>
    <w:rsid w:val="006113D3"/>
    <w:rsid w:val="00616F24"/>
    <w:rsid w:val="006300C0"/>
    <w:rsid w:val="006447F2"/>
    <w:rsid w:val="00644C5B"/>
    <w:rsid w:val="0067330C"/>
    <w:rsid w:val="00675286"/>
    <w:rsid w:val="00692DA5"/>
    <w:rsid w:val="006A4D58"/>
    <w:rsid w:val="006A4F76"/>
    <w:rsid w:val="006A5728"/>
    <w:rsid w:val="006B49BF"/>
    <w:rsid w:val="006D0734"/>
    <w:rsid w:val="006E4C68"/>
    <w:rsid w:val="00720227"/>
    <w:rsid w:val="00720679"/>
    <w:rsid w:val="007364E2"/>
    <w:rsid w:val="0074694B"/>
    <w:rsid w:val="00785C5F"/>
    <w:rsid w:val="007A0249"/>
    <w:rsid w:val="007C000E"/>
    <w:rsid w:val="007C7803"/>
    <w:rsid w:val="008010AD"/>
    <w:rsid w:val="0080386C"/>
    <w:rsid w:val="008354FF"/>
    <w:rsid w:val="00840A1C"/>
    <w:rsid w:val="0084303C"/>
    <w:rsid w:val="008736FC"/>
    <w:rsid w:val="008750C5"/>
    <w:rsid w:val="008764AD"/>
    <w:rsid w:val="00877D76"/>
    <w:rsid w:val="00885D99"/>
    <w:rsid w:val="008926BD"/>
    <w:rsid w:val="0089745C"/>
    <w:rsid w:val="008A7ED7"/>
    <w:rsid w:val="008C10CC"/>
    <w:rsid w:val="008F634B"/>
    <w:rsid w:val="00900557"/>
    <w:rsid w:val="009134D0"/>
    <w:rsid w:val="0093344B"/>
    <w:rsid w:val="0095347A"/>
    <w:rsid w:val="009733B4"/>
    <w:rsid w:val="0097529A"/>
    <w:rsid w:val="00997099"/>
    <w:rsid w:val="009A7BF2"/>
    <w:rsid w:val="009B22D1"/>
    <w:rsid w:val="009B5555"/>
    <w:rsid w:val="009C1D9D"/>
    <w:rsid w:val="009C5ACB"/>
    <w:rsid w:val="009E544B"/>
    <w:rsid w:val="009F7FE9"/>
    <w:rsid w:val="00A22F7E"/>
    <w:rsid w:val="00A43A3E"/>
    <w:rsid w:val="00A67610"/>
    <w:rsid w:val="00A73519"/>
    <w:rsid w:val="00A73EC0"/>
    <w:rsid w:val="00A77BD3"/>
    <w:rsid w:val="00AA1A78"/>
    <w:rsid w:val="00AB1BC4"/>
    <w:rsid w:val="00AD646B"/>
    <w:rsid w:val="00AE4C10"/>
    <w:rsid w:val="00B01090"/>
    <w:rsid w:val="00B34D88"/>
    <w:rsid w:val="00B357DC"/>
    <w:rsid w:val="00B60E5E"/>
    <w:rsid w:val="00B820A4"/>
    <w:rsid w:val="00BA0750"/>
    <w:rsid w:val="00BA16D2"/>
    <w:rsid w:val="00BA4F7F"/>
    <w:rsid w:val="00BA6F07"/>
    <w:rsid w:val="00BA7437"/>
    <w:rsid w:val="00BB2377"/>
    <w:rsid w:val="00BB3798"/>
    <w:rsid w:val="00BB4C43"/>
    <w:rsid w:val="00BC44C2"/>
    <w:rsid w:val="00BC6BEF"/>
    <w:rsid w:val="00BD3D34"/>
    <w:rsid w:val="00BD6EBE"/>
    <w:rsid w:val="00BF0D84"/>
    <w:rsid w:val="00BF6C60"/>
    <w:rsid w:val="00BF7F17"/>
    <w:rsid w:val="00C068D5"/>
    <w:rsid w:val="00C20325"/>
    <w:rsid w:val="00C318CE"/>
    <w:rsid w:val="00C37BA5"/>
    <w:rsid w:val="00C52346"/>
    <w:rsid w:val="00C76979"/>
    <w:rsid w:val="00C8184D"/>
    <w:rsid w:val="00C9068E"/>
    <w:rsid w:val="00CD148B"/>
    <w:rsid w:val="00CD25EE"/>
    <w:rsid w:val="00CD2BEC"/>
    <w:rsid w:val="00D001A9"/>
    <w:rsid w:val="00D21777"/>
    <w:rsid w:val="00D2453A"/>
    <w:rsid w:val="00D370A7"/>
    <w:rsid w:val="00D451A4"/>
    <w:rsid w:val="00D515E7"/>
    <w:rsid w:val="00D73A38"/>
    <w:rsid w:val="00DA3B19"/>
    <w:rsid w:val="00DC70AB"/>
    <w:rsid w:val="00DE39D7"/>
    <w:rsid w:val="00DE7DBD"/>
    <w:rsid w:val="00DF4BCE"/>
    <w:rsid w:val="00E11C0D"/>
    <w:rsid w:val="00E25016"/>
    <w:rsid w:val="00E32A0C"/>
    <w:rsid w:val="00E34BA1"/>
    <w:rsid w:val="00E54B29"/>
    <w:rsid w:val="00EB0EE6"/>
    <w:rsid w:val="00EC669A"/>
    <w:rsid w:val="00ED21B1"/>
    <w:rsid w:val="00ED4254"/>
    <w:rsid w:val="00EE2784"/>
    <w:rsid w:val="00EE4AF0"/>
    <w:rsid w:val="00F16269"/>
    <w:rsid w:val="00F234B2"/>
    <w:rsid w:val="00F26A0F"/>
    <w:rsid w:val="00F418F4"/>
    <w:rsid w:val="00F41E5F"/>
    <w:rsid w:val="00F42BAC"/>
    <w:rsid w:val="00F5086B"/>
    <w:rsid w:val="00F87C1F"/>
    <w:rsid w:val="00FD4A2C"/>
    <w:rsid w:val="00FE3C66"/>
    <w:rsid w:val="00FE4CAC"/>
    <w:rsid w:val="00FF2D6D"/>
    <w:rsid w:val="BFEBCA4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qFormat="1" w:uiPriority="0" w:semiHidden="0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2"/>
    <w:semiHidden/>
    <w:unhideWhenUsed/>
    <w:qFormat/>
    <w:uiPriority w:val="99"/>
    <w:pPr>
      <w:jc w:val="left"/>
    </w:pPr>
  </w:style>
  <w:style w:type="paragraph" w:styleId="3">
    <w:name w:val="endnote text"/>
    <w:basedOn w:val="1"/>
    <w:link w:val="15"/>
    <w:semiHidden/>
    <w:unhideWhenUsed/>
    <w:qFormat/>
    <w:uiPriority w:val="99"/>
    <w:pPr>
      <w:snapToGrid w:val="0"/>
      <w:jc w:val="left"/>
    </w:pPr>
  </w:style>
  <w:style w:type="paragraph" w:styleId="4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footnote text"/>
    <w:basedOn w:val="1"/>
    <w:link w:val="21"/>
    <w:semiHidden/>
    <w:qFormat/>
    <w:uiPriority w:val="99"/>
    <w:pPr>
      <w:snapToGrid w:val="0"/>
      <w:jc w:val="left"/>
    </w:pPr>
    <w:rPr>
      <w:rFonts w:ascii="Times New Roman" w:hAnsi="Times New Roman" w:eastAsia="PMingLiU"/>
      <w:sz w:val="20"/>
      <w:szCs w:val="20"/>
      <w:lang w:eastAsia="zh-TW"/>
    </w:rPr>
  </w:style>
  <w:style w:type="paragraph" w:styleId="8">
    <w:name w:val="annotation subject"/>
    <w:basedOn w:val="2"/>
    <w:next w:val="2"/>
    <w:link w:val="23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endnote reference"/>
    <w:semiHidden/>
    <w:unhideWhenUsed/>
    <w:qFormat/>
    <w:uiPriority w:val="99"/>
    <w:rPr>
      <w:vertAlign w:val="superscript"/>
    </w:rPr>
  </w:style>
  <w:style w:type="character" w:styleId="13">
    <w:name w:val="annotation reference"/>
    <w:basedOn w:val="11"/>
    <w:unhideWhenUsed/>
    <w:qFormat/>
    <w:uiPriority w:val="0"/>
    <w:rPr>
      <w:sz w:val="21"/>
      <w:szCs w:val="21"/>
    </w:rPr>
  </w:style>
  <w:style w:type="character" w:styleId="14">
    <w:name w:val="footnote reference"/>
    <w:semiHidden/>
    <w:unhideWhenUsed/>
    <w:qFormat/>
    <w:uiPriority w:val="99"/>
    <w:rPr>
      <w:vertAlign w:val="superscript"/>
    </w:rPr>
  </w:style>
  <w:style w:type="character" w:customStyle="1" w:styleId="15">
    <w:name w:val="尾注文本 Char"/>
    <w:basedOn w:val="11"/>
    <w:link w:val="3"/>
    <w:semiHidden/>
    <w:qFormat/>
    <w:uiPriority w:val="99"/>
  </w:style>
  <w:style w:type="character" w:customStyle="1" w:styleId="16">
    <w:name w:val="页眉 Char"/>
    <w:link w:val="6"/>
    <w:qFormat/>
    <w:uiPriority w:val="99"/>
    <w:rPr>
      <w:sz w:val="18"/>
      <w:szCs w:val="18"/>
    </w:rPr>
  </w:style>
  <w:style w:type="character" w:customStyle="1" w:styleId="17">
    <w:name w:val="页脚 Char"/>
    <w:link w:val="5"/>
    <w:qFormat/>
    <w:uiPriority w:val="99"/>
    <w:rPr>
      <w:sz w:val="18"/>
      <w:szCs w:val="18"/>
    </w:rPr>
  </w:style>
  <w:style w:type="character" w:customStyle="1" w:styleId="18">
    <w:name w:val="批注框文本 Char"/>
    <w:link w:val="4"/>
    <w:semiHidden/>
    <w:qFormat/>
    <w:uiPriority w:val="99"/>
    <w:rPr>
      <w:kern w:val="2"/>
      <w:sz w:val="18"/>
      <w:szCs w:val="18"/>
    </w:rPr>
  </w:style>
  <w:style w:type="paragraph" w:customStyle="1" w:styleId="19">
    <w:name w:val="列出段落1"/>
    <w:basedOn w:val="1"/>
    <w:qFormat/>
    <w:uiPriority w:val="34"/>
    <w:pPr>
      <w:ind w:firstLine="420" w:firstLineChars="200"/>
    </w:p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character" w:customStyle="1" w:styleId="21">
    <w:name w:val="脚注文本 Char"/>
    <w:link w:val="7"/>
    <w:semiHidden/>
    <w:qFormat/>
    <w:uiPriority w:val="99"/>
    <w:rPr>
      <w:rFonts w:ascii="Times New Roman" w:hAnsi="Times New Roman" w:eastAsia="PMingLiU"/>
      <w:kern w:val="2"/>
      <w:lang w:eastAsia="zh-TW"/>
    </w:rPr>
  </w:style>
  <w:style w:type="character" w:customStyle="1" w:styleId="22">
    <w:name w:val="批注文字 Char"/>
    <w:basedOn w:val="11"/>
    <w:link w:val="2"/>
    <w:semiHidden/>
    <w:qFormat/>
    <w:uiPriority w:val="99"/>
    <w:rPr>
      <w:kern w:val="2"/>
      <w:sz w:val="21"/>
      <w:szCs w:val="22"/>
    </w:rPr>
  </w:style>
  <w:style w:type="character" w:customStyle="1" w:styleId="23">
    <w:name w:val="批注主题 Char"/>
    <w:basedOn w:val="22"/>
    <w:link w:val="8"/>
    <w:semiHidden/>
    <w:qFormat/>
    <w:uiPriority w:val="99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新日鐵住金株式会社</Company>
  <Pages>2</Pages>
  <Words>104</Words>
  <Characters>599</Characters>
  <Lines>4</Lines>
  <Paragraphs>1</Paragraphs>
  <TotalTime>0</TotalTime>
  <ScaleCrop>false</ScaleCrop>
  <LinksUpToDate>false</LinksUpToDate>
  <CharactersWithSpaces>702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2021-12-09T09:02:00Z</dcterms:created>
  <dc:creator>dell</dc:creator>
  <cp:lastModifiedBy>oa</cp:lastModifiedBy>
  <cp:lastPrinted>2017-01-18T15:04:00Z</cp:lastPrinted>
  <dcterms:modified xsi:type="dcterms:W3CDTF">2021-12-17T16:35:31Z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