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A" w:rsidRDefault="003972D3">
      <w:pPr>
        <w:spacing w:line="440" w:lineRule="exact"/>
        <w:jc w:val="center"/>
        <w:rPr>
          <w:rFonts w:ascii="Times New Roman" w:eastAsia="仿宋" w:hAnsi="Times New Roman"/>
          <w:b/>
          <w:szCs w:val="21"/>
        </w:rPr>
      </w:pPr>
      <w:r>
        <w:rPr>
          <w:rFonts w:ascii="Times New Roman" w:eastAsia="仿宋" w:hAnsi="仿宋"/>
          <w:b/>
          <w:szCs w:val="21"/>
        </w:rPr>
        <w:t>经营者集中简易案件公示表</w:t>
      </w:r>
    </w:p>
    <w:p w:rsidR="00D542DA" w:rsidRDefault="00D542DA">
      <w:pPr>
        <w:spacing w:line="440" w:lineRule="exact"/>
        <w:ind w:firstLineChars="302" w:firstLine="634"/>
        <w:rPr>
          <w:rFonts w:ascii="Times New Roman" w:eastAsia="仿宋" w:hAnsi="Times New Roman"/>
          <w:szCs w:val="21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5502"/>
      </w:tblGrid>
      <w:tr w:rsidR="00D542DA">
        <w:tc>
          <w:tcPr>
            <w:tcW w:w="1809" w:type="dxa"/>
            <w:shd w:val="clear" w:color="auto" w:fill="D9D9D9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widowControl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纽克雷斯特矿业公司收购普瑞提姆资源有限公司股权案（“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本次交易</w:t>
            </w:r>
            <w:r>
              <w:rPr>
                <w:rFonts w:ascii="Times New Roman" w:eastAsia="仿宋" w:hAnsi="Times New Roman" w:hint="eastAsia"/>
                <w:szCs w:val="21"/>
              </w:rPr>
              <w:t>”）</w:t>
            </w:r>
          </w:p>
        </w:tc>
      </w:tr>
      <w:tr w:rsidR="00D542DA">
        <w:trPr>
          <w:trHeight w:val="1074"/>
        </w:trPr>
        <w:tc>
          <w:tcPr>
            <w:tcW w:w="1809" w:type="dxa"/>
            <w:shd w:val="clear" w:color="auto" w:fill="D9D9D9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交易概况（限</w:t>
            </w:r>
            <w:r>
              <w:rPr>
                <w:rFonts w:ascii="Times New Roman" w:eastAsia="仿宋" w:hAnsi="Times New Roman"/>
                <w:b/>
                <w:szCs w:val="21"/>
              </w:rPr>
              <w:t>200</w:t>
            </w:r>
            <w:r>
              <w:rPr>
                <w:rFonts w:ascii="Times New Roman" w:eastAsia="仿宋" w:hAnsi="仿宋"/>
                <w:b/>
                <w:szCs w:val="21"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widowControl/>
              <w:snapToGrid w:val="0"/>
              <w:jc w:val="left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纽克雷斯特矿业公司（“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纽克雷斯特矿业</w:t>
            </w:r>
            <w:r>
              <w:rPr>
                <w:rFonts w:ascii="Times New Roman" w:eastAsia="仿宋" w:hAnsi="Times New Roman" w:hint="eastAsia"/>
                <w:szCs w:val="21"/>
              </w:rPr>
              <w:t>”）打算通过其加拿大全资子公司纽克雷斯特</w:t>
            </w:r>
            <w:r>
              <w:rPr>
                <w:rFonts w:ascii="Times New Roman" w:eastAsia="仿宋" w:hAnsi="Times New Roman" w:hint="eastAsia"/>
                <w:szCs w:val="21"/>
              </w:rPr>
              <w:t>BC</w:t>
            </w:r>
            <w:r>
              <w:rPr>
                <w:rFonts w:ascii="Times New Roman" w:eastAsia="仿宋" w:hAnsi="Times New Roman" w:hint="eastAsia"/>
                <w:szCs w:val="21"/>
              </w:rPr>
              <w:t>矿业有限公司（</w:t>
            </w:r>
            <w:r>
              <w:rPr>
                <w:rFonts w:ascii="Times New Roman" w:eastAsia="仿宋" w:hAnsi="Times New Roman" w:hint="eastAsia"/>
                <w:szCs w:val="21"/>
              </w:rPr>
              <w:t>Newcrest BC Mining Ltd.</w:t>
            </w:r>
            <w:r>
              <w:rPr>
                <w:rFonts w:ascii="Times New Roman" w:eastAsia="仿宋" w:hAnsi="Times New Roman" w:hint="eastAsia"/>
                <w:szCs w:val="21"/>
              </w:rPr>
              <w:t>）收购其尚未持有的普瑞提姆资源有限公司（“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普瑞提姆资源</w:t>
            </w:r>
            <w:r>
              <w:rPr>
                <w:rFonts w:ascii="Times New Roman" w:eastAsia="仿宋" w:hAnsi="Times New Roman" w:hint="eastAsia"/>
                <w:szCs w:val="21"/>
              </w:rPr>
              <w:t>”）的</w:t>
            </w:r>
            <w:r>
              <w:rPr>
                <w:rFonts w:ascii="Times New Roman" w:eastAsia="仿宋" w:hAnsi="Times New Roman"/>
                <w:szCs w:val="21"/>
              </w:rPr>
              <w:t>所有</w:t>
            </w:r>
            <w:r>
              <w:rPr>
                <w:rFonts w:ascii="Times New Roman" w:eastAsia="仿宋" w:hAnsi="Times New Roman" w:hint="eastAsia"/>
                <w:szCs w:val="21"/>
              </w:rPr>
              <w:t>已发行和流通中的普通股。本次交易的完成受制于各类交割条件，其中包括并购审查的批准。</w:t>
            </w:r>
          </w:p>
        </w:tc>
      </w:tr>
      <w:tr w:rsidR="00D542DA">
        <w:trPr>
          <w:trHeight w:val="1693"/>
        </w:trPr>
        <w:tc>
          <w:tcPr>
            <w:tcW w:w="1809" w:type="dxa"/>
            <w:vMerge w:val="restart"/>
            <w:shd w:val="clear" w:color="auto" w:fill="D9D9D9"/>
          </w:tcPr>
          <w:p w:rsidR="00D542DA" w:rsidRDefault="003972D3">
            <w:pPr>
              <w:spacing w:line="500" w:lineRule="exact"/>
              <w:jc w:val="lef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参与集中的经营者简介</w:t>
            </w:r>
          </w:p>
        </w:tc>
        <w:tc>
          <w:tcPr>
            <w:tcW w:w="1447" w:type="dxa"/>
            <w:vAlign w:val="center"/>
          </w:tcPr>
          <w:p w:rsidR="00D542DA" w:rsidRDefault="003972D3">
            <w:pPr>
              <w:widowControl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仿宋"/>
                <w:szCs w:val="21"/>
              </w:rPr>
              <w:t>、</w:t>
            </w:r>
            <w:r>
              <w:rPr>
                <w:rFonts w:ascii="Times New Roman" w:eastAsia="仿宋" w:hAnsi="Times New Roman" w:hint="eastAsia"/>
                <w:szCs w:val="21"/>
              </w:rPr>
              <w:t>纽克雷斯特矿业</w:t>
            </w:r>
          </w:p>
        </w:tc>
        <w:tc>
          <w:tcPr>
            <w:tcW w:w="5502" w:type="dxa"/>
            <w:vAlign w:val="center"/>
          </w:tcPr>
          <w:p w:rsidR="00D542DA" w:rsidRDefault="003972D3">
            <w:pPr>
              <w:widowControl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纽克雷斯特矿业于</w:t>
            </w:r>
            <w:r>
              <w:rPr>
                <w:rFonts w:ascii="Times New Roman" w:eastAsia="仿宋" w:hAnsi="Times New Roman" w:hint="eastAsia"/>
                <w:szCs w:val="21"/>
              </w:rPr>
              <w:t>1980</w:t>
            </w:r>
            <w:r>
              <w:rPr>
                <w:rFonts w:ascii="Times New Roman" w:eastAsia="仿宋" w:hAnsi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Cs w:val="21"/>
              </w:rPr>
              <w:t>日在澳大利亚成立。纽克雷斯特矿业是一家在澳大利亚证券交易所、巴布亚新几内亚证券交易所和多伦多证券交易所上市的矿业公司。纽克雷斯特矿业的主要运营的矿藏位于澳大利亚、巴布亚新几内亚和加拿大，同时其也在巴布亚新几内亚、斐济</w:t>
            </w:r>
            <w:bookmarkStart w:id="0" w:name="_GoBack"/>
            <w:bookmarkEnd w:id="0"/>
            <w:r>
              <w:rPr>
                <w:rFonts w:ascii="Times New Roman" w:eastAsia="仿宋" w:hAnsi="Times New Roman" w:hint="eastAsia"/>
                <w:szCs w:val="21"/>
              </w:rPr>
              <w:t>和澳大利亚有正在开发的项目。</w:t>
            </w:r>
          </w:p>
        </w:tc>
      </w:tr>
      <w:tr w:rsidR="00D542DA">
        <w:trPr>
          <w:trHeight w:val="703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542DA" w:rsidRDefault="003972D3">
            <w:pPr>
              <w:widowControl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  <w:r>
              <w:rPr>
                <w:rFonts w:ascii="Times New Roman" w:eastAsia="仿宋" w:hAnsi="仿宋"/>
                <w:szCs w:val="21"/>
              </w:rPr>
              <w:t>、</w:t>
            </w:r>
            <w:r>
              <w:rPr>
                <w:rFonts w:ascii="Times New Roman" w:eastAsia="仿宋" w:hAnsi="仿宋" w:hint="eastAsia"/>
                <w:szCs w:val="21"/>
              </w:rPr>
              <w:t>普瑞提姆资源</w:t>
            </w:r>
          </w:p>
        </w:tc>
        <w:tc>
          <w:tcPr>
            <w:tcW w:w="5502" w:type="dxa"/>
            <w:vAlign w:val="center"/>
          </w:tcPr>
          <w:p w:rsidR="00D542DA" w:rsidRDefault="003972D3">
            <w:pPr>
              <w:widowControl/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普瑞提姆资源于</w:t>
            </w:r>
            <w:r>
              <w:rPr>
                <w:rFonts w:ascii="Times New Roman" w:eastAsia="仿宋" w:hAnsi="Times New Roman" w:hint="eastAsia"/>
                <w:szCs w:val="21"/>
              </w:rPr>
              <w:t>2010</w:t>
            </w:r>
            <w:r>
              <w:rPr>
                <w:rFonts w:ascii="Times New Roman" w:eastAsia="仿宋" w:hAnsi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hint="eastAsia"/>
                <w:szCs w:val="21"/>
              </w:rPr>
              <w:t>10</w:t>
            </w:r>
            <w:r>
              <w:rPr>
                <w:rFonts w:ascii="Times New Roman" w:eastAsia="仿宋" w:hAnsi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hint="eastAsia"/>
                <w:szCs w:val="21"/>
              </w:rPr>
              <w:t>22</w:t>
            </w:r>
            <w:r>
              <w:rPr>
                <w:rFonts w:ascii="Times New Roman" w:eastAsia="仿宋" w:hAnsi="Times New Roman" w:hint="eastAsia"/>
                <w:szCs w:val="21"/>
              </w:rPr>
              <w:t>日在加拿大成立。普瑞提姆资源成立的目的是收购、勘探、开发和运营美洲的贵金属资源。通过在其</w:t>
            </w:r>
            <w:r>
              <w:rPr>
                <w:rFonts w:ascii="Times New Roman" w:eastAsia="仿宋" w:hAnsi="Times New Roman" w:hint="eastAsia"/>
                <w:szCs w:val="21"/>
              </w:rPr>
              <w:t>100%</w:t>
            </w:r>
            <w:r>
              <w:rPr>
                <w:rFonts w:ascii="Times New Roman" w:eastAsia="仿宋" w:hAnsi="Times New Roman" w:hint="eastAsia"/>
                <w:szCs w:val="21"/>
              </w:rPr>
              <w:t>所有权的</w:t>
            </w:r>
            <w:proofErr w:type="spellStart"/>
            <w:r>
              <w:rPr>
                <w:rFonts w:ascii="Times New Roman" w:eastAsia="仿宋" w:hAnsi="Times New Roman" w:hint="eastAsia"/>
                <w:szCs w:val="21"/>
              </w:rPr>
              <w:t>Brucejack</w:t>
            </w:r>
            <w:proofErr w:type="spellEnd"/>
            <w:r>
              <w:rPr>
                <w:rFonts w:ascii="Times New Roman" w:eastAsia="仿宋" w:hAnsi="Times New Roman" w:hint="eastAsia"/>
                <w:szCs w:val="21"/>
              </w:rPr>
              <w:t>项目中（位于不列颠哥伦比亚省西北部</w:t>
            </w:r>
            <w:proofErr w:type="spellStart"/>
            <w:r>
              <w:rPr>
                <w:rFonts w:ascii="Times New Roman" w:eastAsia="仿宋" w:hAnsi="Times New Roman" w:hint="eastAsia"/>
                <w:szCs w:val="21"/>
              </w:rPr>
              <w:t>Brucejack</w:t>
            </w:r>
            <w:proofErr w:type="spellEnd"/>
            <w:r>
              <w:rPr>
                <w:rFonts w:ascii="Times New Roman" w:eastAsia="仿宋" w:hAnsi="Times New Roman" w:hint="eastAsia"/>
                <w:szCs w:val="21"/>
              </w:rPr>
              <w:t>矿区的一个地下金矿）的持续商业开发，普瑞提姆资源已成为一家黄金中间</w:t>
            </w:r>
            <w:r>
              <w:rPr>
                <w:rFonts w:ascii="Times New Roman" w:eastAsia="仿宋" w:hAnsi="Times New Roman"/>
                <w:szCs w:val="21"/>
              </w:rPr>
              <w:t>产品</w:t>
            </w:r>
            <w:r>
              <w:rPr>
                <w:rFonts w:ascii="Times New Roman" w:eastAsia="仿宋" w:hAnsi="Times New Roman" w:hint="eastAsia"/>
                <w:szCs w:val="21"/>
              </w:rPr>
              <w:t>生产商。</w:t>
            </w:r>
          </w:p>
        </w:tc>
      </w:tr>
      <w:tr w:rsidR="00D542DA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" w:char="F0FE"/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仿宋"/>
                <w:szCs w:val="21"/>
              </w:rPr>
              <w:t>、在同一相关市场，所有参与集中的经营者所占市场份额之和小于</w:t>
            </w:r>
            <w:r>
              <w:rPr>
                <w:rFonts w:ascii="Times New Roman" w:eastAsia="仿宋" w:hAnsi="Times New Roman"/>
                <w:szCs w:val="21"/>
              </w:rPr>
              <w:t>15%</w:t>
            </w:r>
            <w:r>
              <w:rPr>
                <w:rFonts w:ascii="Times New Roman" w:eastAsia="仿宋" w:hAnsi="仿宋"/>
                <w:szCs w:val="21"/>
              </w:rPr>
              <w:t>。</w:t>
            </w:r>
          </w:p>
        </w:tc>
      </w:tr>
      <w:tr w:rsidR="00D542DA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□2</w:t>
            </w:r>
            <w:r>
              <w:rPr>
                <w:rFonts w:ascii="Times New Roman" w:eastAsia="仿宋" w:hAnsi="仿宋"/>
                <w:szCs w:val="21"/>
              </w:rPr>
              <w:t>、存在上下游关系的参与集中的经营者，在上下游市场所占的市场份额均小于</w:t>
            </w:r>
            <w:r>
              <w:rPr>
                <w:rFonts w:ascii="Times New Roman" w:eastAsia="仿宋" w:hAnsi="Times New Roman"/>
                <w:szCs w:val="21"/>
              </w:rPr>
              <w:t>25%</w:t>
            </w:r>
            <w:r>
              <w:rPr>
                <w:rFonts w:ascii="Times New Roman" w:eastAsia="仿宋" w:hAnsi="仿宋"/>
                <w:szCs w:val="21"/>
              </w:rPr>
              <w:t>。</w:t>
            </w:r>
          </w:p>
        </w:tc>
      </w:tr>
      <w:tr w:rsidR="00D542DA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□3</w:t>
            </w:r>
            <w:r>
              <w:rPr>
                <w:rFonts w:ascii="Times New Roman" w:eastAsia="仿宋" w:hAnsi="仿宋"/>
                <w:szCs w:val="21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ascii="Times New Roman" w:eastAsia="仿宋" w:hAnsi="Times New Roman"/>
                <w:szCs w:val="21"/>
              </w:rPr>
              <w:t>25%</w:t>
            </w:r>
            <w:r>
              <w:rPr>
                <w:rFonts w:ascii="Times New Roman" w:eastAsia="仿宋" w:hAnsi="仿宋"/>
                <w:szCs w:val="21"/>
              </w:rPr>
              <w:t>。</w:t>
            </w:r>
          </w:p>
        </w:tc>
      </w:tr>
      <w:tr w:rsidR="00D542DA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□4</w:t>
            </w:r>
            <w:r>
              <w:rPr>
                <w:rFonts w:ascii="Times New Roman" w:eastAsia="仿宋" w:hAnsi="仿宋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D542DA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□5</w:t>
            </w:r>
            <w:r>
              <w:rPr>
                <w:rFonts w:ascii="Times New Roman" w:eastAsia="仿宋" w:hAnsi="仿宋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D542DA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D542DA" w:rsidRDefault="00D542DA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□6</w:t>
            </w:r>
            <w:r>
              <w:rPr>
                <w:rFonts w:ascii="Times New Roman" w:eastAsia="仿宋" w:hAnsi="仿宋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D542DA">
        <w:tc>
          <w:tcPr>
            <w:tcW w:w="1809" w:type="dxa"/>
            <w:shd w:val="clear" w:color="auto" w:fill="D9D9D9"/>
          </w:tcPr>
          <w:p w:rsidR="00D542DA" w:rsidRDefault="003972D3">
            <w:pPr>
              <w:spacing w:line="500" w:lineRule="exac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 w:rsidR="00D542DA" w:rsidRDefault="003972D3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仿宋"/>
                <w:b/>
                <w:szCs w:val="21"/>
              </w:rPr>
              <w:t>相关</w:t>
            </w:r>
            <w:r>
              <w:rPr>
                <w:rFonts w:ascii="Times New Roman" w:eastAsia="仿宋" w:hAnsi="仿宋" w:hint="eastAsia"/>
                <w:b/>
                <w:szCs w:val="21"/>
              </w:rPr>
              <w:t>产品</w:t>
            </w:r>
            <w:r>
              <w:rPr>
                <w:rFonts w:ascii="Times New Roman" w:eastAsia="仿宋" w:hAnsi="仿宋"/>
                <w:b/>
                <w:szCs w:val="21"/>
              </w:rPr>
              <w:t>市场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：标准金</w:t>
            </w:r>
          </w:p>
          <w:p w:rsidR="00D542DA" w:rsidRDefault="003972D3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相关地域市场：全球</w:t>
            </w:r>
          </w:p>
          <w:p w:rsidR="00D542DA" w:rsidRDefault="003972D3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交易双方的市场份额：</w:t>
            </w:r>
          </w:p>
          <w:tbl>
            <w:tblPr>
              <w:tblW w:w="6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654"/>
              <w:gridCol w:w="2192"/>
            </w:tblGrid>
            <w:tr w:rsidR="00D542DA">
              <w:tc>
                <w:tcPr>
                  <w:tcW w:w="1730" w:type="dxa"/>
                  <w:shd w:val="clear" w:color="auto" w:fill="auto"/>
                </w:tcPr>
                <w:p w:rsidR="00D542DA" w:rsidRDefault="00D542DA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全球市场</w:t>
                  </w: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中国境内市场</w:t>
                  </w:r>
                </w:p>
              </w:tc>
            </w:tr>
            <w:tr w:rsidR="00D542DA">
              <w:tc>
                <w:tcPr>
                  <w:tcW w:w="1730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纽克雷斯特矿业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</w:tr>
            <w:tr w:rsidR="00D542DA">
              <w:tc>
                <w:tcPr>
                  <w:tcW w:w="1730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普瑞提姆资源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</w:tr>
            <w:tr w:rsidR="00D542DA">
              <w:tc>
                <w:tcPr>
                  <w:tcW w:w="1730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合计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542DA" w:rsidRDefault="003972D3">
                  <w:pPr>
                    <w:rPr>
                      <w:rFonts w:ascii="Times New Roman" w:eastAsia="仿宋_GB2312" w:hAnsi="Times New Roman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Cs w:val="21"/>
                    </w:rPr>
                    <w:t>[</w:t>
                  </w:r>
                  <w:r>
                    <w:rPr>
                      <w:rFonts w:ascii="Times New Roman" w:eastAsia="仿宋_GB2312" w:hAnsi="Times New Roman"/>
                      <w:szCs w:val="21"/>
                    </w:rPr>
                    <w:t>0-5]%</w:t>
                  </w:r>
                </w:p>
              </w:tc>
            </w:tr>
          </w:tbl>
          <w:p w:rsidR="00D542DA" w:rsidRDefault="00D542DA">
            <w:pPr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D542DA" w:rsidRDefault="00D542DA">
      <w:pPr>
        <w:snapToGrid w:val="0"/>
        <w:spacing w:line="240" w:lineRule="exact"/>
        <w:jc w:val="left"/>
        <w:rPr>
          <w:rFonts w:ascii="Times New Roman" w:eastAsia="仿宋" w:hAnsi="Times New Roman"/>
          <w:szCs w:val="21"/>
        </w:rPr>
      </w:pPr>
    </w:p>
    <w:p w:rsidR="00D542DA" w:rsidRDefault="00D542DA">
      <w:pPr>
        <w:spacing w:line="360" w:lineRule="auto"/>
        <w:ind w:firstLineChars="200" w:firstLine="420"/>
        <w:rPr>
          <w:rFonts w:ascii="Times New Roman" w:eastAsia="仿宋" w:hAnsi="Times New Roman"/>
          <w:szCs w:val="21"/>
        </w:rPr>
      </w:pPr>
    </w:p>
    <w:sectPr w:rsidR="00D5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MwNTQ1MLM0MzRR0lEKTi0uzszPAykwrAUAVjK5nSwAAAA="/>
  </w:docVars>
  <w:rsids>
    <w:rsidRoot w:val="00094095"/>
    <w:rsid w:val="FBBA8F9B"/>
    <w:rsid w:val="0002196F"/>
    <w:rsid w:val="00035989"/>
    <w:rsid w:val="0005551D"/>
    <w:rsid w:val="00071AD2"/>
    <w:rsid w:val="00094095"/>
    <w:rsid w:val="000B1D7A"/>
    <w:rsid w:val="000B525B"/>
    <w:rsid w:val="000D0BBB"/>
    <w:rsid w:val="000E3542"/>
    <w:rsid w:val="000F7BA2"/>
    <w:rsid w:val="001546F2"/>
    <w:rsid w:val="001818CA"/>
    <w:rsid w:val="00181D56"/>
    <w:rsid w:val="001C67FD"/>
    <w:rsid w:val="001C6A5F"/>
    <w:rsid w:val="001C6F69"/>
    <w:rsid w:val="001E44F4"/>
    <w:rsid w:val="00210BCC"/>
    <w:rsid w:val="00214485"/>
    <w:rsid w:val="00245776"/>
    <w:rsid w:val="00272AB1"/>
    <w:rsid w:val="002B0CB8"/>
    <w:rsid w:val="002C62A9"/>
    <w:rsid w:val="002C6904"/>
    <w:rsid w:val="002D7907"/>
    <w:rsid w:val="002F2D60"/>
    <w:rsid w:val="00307976"/>
    <w:rsid w:val="00322BD0"/>
    <w:rsid w:val="0033461F"/>
    <w:rsid w:val="0033698A"/>
    <w:rsid w:val="00344ACB"/>
    <w:rsid w:val="00365DFA"/>
    <w:rsid w:val="00382A42"/>
    <w:rsid w:val="003972D3"/>
    <w:rsid w:val="0043240D"/>
    <w:rsid w:val="004522EB"/>
    <w:rsid w:val="00457929"/>
    <w:rsid w:val="00462174"/>
    <w:rsid w:val="004636E0"/>
    <w:rsid w:val="004643F8"/>
    <w:rsid w:val="00470677"/>
    <w:rsid w:val="004760DC"/>
    <w:rsid w:val="004A3469"/>
    <w:rsid w:val="004A3C1D"/>
    <w:rsid w:val="004A70D9"/>
    <w:rsid w:val="004B0C12"/>
    <w:rsid w:val="004C7305"/>
    <w:rsid w:val="004F5738"/>
    <w:rsid w:val="00515FC0"/>
    <w:rsid w:val="0051697A"/>
    <w:rsid w:val="00536D71"/>
    <w:rsid w:val="00543317"/>
    <w:rsid w:val="005C1BA6"/>
    <w:rsid w:val="005C2049"/>
    <w:rsid w:val="005D1E6F"/>
    <w:rsid w:val="005F167B"/>
    <w:rsid w:val="00633814"/>
    <w:rsid w:val="006406ED"/>
    <w:rsid w:val="00681BD3"/>
    <w:rsid w:val="00695458"/>
    <w:rsid w:val="006A2E8E"/>
    <w:rsid w:val="006E36B8"/>
    <w:rsid w:val="006E5E92"/>
    <w:rsid w:val="006F2A87"/>
    <w:rsid w:val="006F336C"/>
    <w:rsid w:val="00713275"/>
    <w:rsid w:val="007266BD"/>
    <w:rsid w:val="00750211"/>
    <w:rsid w:val="007560BC"/>
    <w:rsid w:val="00760A24"/>
    <w:rsid w:val="00783D11"/>
    <w:rsid w:val="00784F40"/>
    <w:rsid w:val="00796F6A"/>
    <w:rsid w:val="007C0EBC"/>
    <w:rsid w:val="007C3744"/>
    <w:rsid w:val="007E15C4"/>
    <w:rsid w:val="007E1851"/>
    <w:rsid w:val="00807784"/>
    <w:rsid w:val="00816833"/>
    <w:rsid w:val="00822FC0"/>
    <w:rsid w:val="008439B1"/>
    <w:rsid w:val="00856887"/>
    <w:rsid w:val="00864E5A"/>
    <w:rsid w:val="00870B5D"/>
    <w:rsid w:val="008724BE"/>
    <w:rsid w:val="008A2D3A"/>
    <w:rsid w:val="008D4593"/>
    <w:rsid w:val="008D7EF4"/>
    <w:rsid w:val="008F5D41"/>
    <w:rsid w:val="009030D6"/>
    <w:rsid w:val="00911F6A"/>
    <w:rsid w:val="00916449"/>
    <w:rsid w:val="0094619C"/>
    <w:rsid w:val="00954C20"/>
    <w:rsid w:val="00975020"/>
    <w:rsid w:val="0098467E"/>
    <w:rsid w:val="00985EB9"/>
    <w:rsid w:val="009C5AB9"/>
    <w:rsid w:val="009C5D29"/>
    <w:rsid w:val="009D140F"/>
    <w:rsid w:val="009D7407"/>
    <w:rsid w:val="009E335D"/>
    <w:rsid w:val="00A07F3C"/>
    <w:rsid w:val="00A1304E"/>
    <w:rsid w:val="00A16214"/>
    <w:rsid w:val="00A24168"/>
    <w:rsid w:val="00A42E3D"/>
    <w:rsid w:val="00A50F20"/>
    <w:rsid w:val="00A74741"/>
    <w:rsid w:val="00AA090F"/>
    <w:rsid w:val="00AA65E3"/>
    <w:rsid w:val="00B248D3"/>
    <w:rsid w:val="00B24DFF"/>
    <w:rsid w:val="00B375D2"/>
    <w:rsid w:val="00B375DB"/>
    <w:rsid w:val="00B628DC"/>
    <w:rsid w:val="00B86887"/>
    <w:rsid w:val="00BA0750"/>
    <w:rsid w:val="00BA3947"/>
    <w:rsid w:val="00BB2377"/>
    <w:rsid w:val="00BB323E"/>
    <w:rsid w:val="00BC047C"/>
    <w:rsid w:val="00BC3714"/>
    <w:rsid w:val="00BD787F"/>
    <w:rsid w:val="00BF6B87"/>
    <w:rsid w:val="00C02D65"/>
    <w:rsid w:val="00C210B9"/>
    <w:rsid w:val="00C2508B"/>
    <w:rsid w:val="00C3207E"/>
    <w:rsid w:val="00C33A20"/>
    <w:rsid w:val="00C41AE9"/>
    <w:rsid w:val="00C55B9D"/>
    <w:rsid w:val="00C7232A"/>
    <w:rsid w:val="00C9068E"/>
    <w:rsid w:val="00C91F81"/>
    <w:rsid w:val="00C92AC9"/>
    <w:rsid w:val="00CB349E"/>
    <w:rsid w:val="00CC4D06"/>
    <w:rsid w:val="00CD1B86"/>
    <w:rsid w:val="00CF2118"/>
    <w:rsid w:val="00CF522C"/>
    <w:rsid w:val="00D131EB"/>
    <w:rsid w:val="00D21777"/>
    <w:rsid w:val="00D26A40"/>
    <w:rsid w:val="00D404A9"/>
    <w:rsid w:val="00D542DA"/>
    <w:rsid w:val="00D9028D"/>
    <w:rsid w:val="00D94F5A"/>
    <w:rsid w:val="00D9700E"/>
    <w:rsid w:val="00DA5E07"/>
    <w:rsid w:val="00DD0A04"/>
    <w:rsid w:val="00DD714E"/>
    <w:rsid w:val="00DE423C"/>
    <w:rsid w:val="00DE7D28"/>
    <w:rsid w:val="00E20658"/>
    <w:rsid w:val="00E31506"/>
    <w:rsid w:val="00E31C8A"/>
    <w:rsid w:val="00E423F1"/>
    <w:rsid w:val="00E44AFE"/>
    <w:rsid w:val="00E459CE"/>
    <w:rsid w:val="00E603D6"/>
    <w:rsid w:val="00EA39B0"/>
    <w:rsid w:val="00EB2BC3"/>
    <w:rsid w:val="00ED21B1"/>
    <w:rsid w:val="00F043F8"/>
    <w:rsid w:val="00F04F9B"/>
    <w:rsid w:val="00F27C22"/>
    <w:rsid w:val="00F32BF5"/>
    <w:rsid w:val="00F40A9E"/>
    <w:rsid w:val="00F87C1F"/>
    <w:rsid w:val="00FB6B89"/>
    <w:rsid w:val="7EBDE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72F24-DFD8-4EF2-A8E9-DD86451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ndnote reference"/>
    <w:uiPriority w:val="99"/>
    <w:semiHidden/>
    <w:unhideWhenUsed/>
    <w:rPr>
      <w:vertAlign w:val="superscript"/>
    </w:r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FD</cp:lastModifiedBy>
  <cp:revision>2</cp:revision>
  <cp:lastPrinted>2018-04-04T11:32:00Z</cp:lastPrinted>
  <dcterms:created xsi:type="dcterms:W3CDTF">2020-04-22T10:42:00Z</dcterms:created>
  <dcterms:modified xsi:type="dcterms:W3CDTF">2021-12-03T07:22:00Z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