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仿宋_GB2312"/>
          <w:sz w:val="28"/>
          <w:szCs w:val="28"/>
        </w:rPr>
      </w:pPr>
    </w:p>
    <w:p>
      <w:pPr>
        <w:spacing w:line="440" w:lineRule="exact"/>
        <w:jc w:val="center"/>
        <w:rPr>
          <w:rFonts w:ascii="Times New Roman" w:hAnsi="Times New Roman" w:eastAsia="黑体"/>
          <w:sz w:val="30"/>
          <w:szCs w:val="30"/>
        </w:rPr>
      </w:pPr>
      <w:r>
        <w:rPr>
          <w:rFonts w:ascii="Times New Roman" w:hAnsi="Times New Roman" w:eastAsia="黑体"/>
          <w:sz w:val="30"/>
          <w:szCs w:val="30"/>
        </w:rPr>
        <w:t>经营者集中简易案件公示表</w:t>
      </w:r>
    </w:p>
    <w:p>
      <w:pPr>
        <w:spacing w:line="440" w:lineRule="exact"/>
        <w:ind w:firstLine="845" w:firstLineChars="302"/>
        <w:rPr>
          <w:rFonts w:ascii="Times New Roman" w:hAnsi="Times New Roman" w:eastAsia="仿宋_GB2312"/>
          <w:sz w:val="28"/>
          <w:szCs w:val="28"/>
        </w:rPr>
      </w:pP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案件名称</w:t>
            </w:r>
          </w:p>
        </w:tc>
        <w:tc>
          <w:tcPr>
            <w:tcW w:w="6949" w:type="dxa"/>
            <w:gridSpan w:val="2"/>
          </w:tcPr>
          <w:p>
            <w:pPr>
              <w:tabs>
                <w:tab w:val="left" w:pos="1215"/>
              </w:tabs>
              <w:spacing w:line="500" w:lineRule="exact"/>
              <w:rPr>
                <w:rFonts w:ascii="Times New Roman" w:hAnsi="Times New Roman" w:eastAsia="仿宋_GB2312"/>
                <w:sz w:val="28"/>
                <w:szCs w:val="28"/>
              </w:rPr>
            </w:pPr>
            <w:r>
              <w:rPr>
                <w:rFonts w:hint="eastAsia" w:ascii="Times New Roman" w:hAnsi="Times New Roman" w:eastAsia="仿宋_GB2312"/>
                <w:sz w:val="28"/>
                <w:szCs w:val="28"/>
              </w:rPr>
              <w:t>孚宝华北有限公司收购惠州荃美石化仓储有限公司股权案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3" w:hRule="atLeast"/>
        </w:trPr>
        <w:tc>
          <w:tcPr>
            <w:tcW w:w="1809" w:type="dxa"/>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交易概况（限200字内）</w:t>
            </w:r>
          </w:p>
        </w:tc>
        <w:tc>
          <w:tcPr>
            <w:tcW w:w="6949" w:type="dxa"/>
            <w:gridSpan w:val="2"/>
          </w:tcPr>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2021年10月18日，孚宝华北有限公司（“</w:t>
            </w:r>
            <w:r>
              <w:rPr>
                <w:rFonts w:hint="eastAsia" w:ascii="Times New Roman" w:hAnsi="Times New Roman" w:eastAsia="仿宋_GB2312"/>
                <w:b/>
                <w:sz w:val="28"/>
                <w:szCs w:val="28"/>
              </w:rPr>
              <w:t>孚宝中国</w:t>
            </w:r>
            <w:r>
              <w:rPr>
                <w:rFonts w:hint="eastAsia" w:ascii="Times New Roman" w:hAnsi="Times New Roman" w:eastAsia="仿宋_GB2312"/>
                <w:sz w:val="28"/>
                <w:szCs w:val="28"/>
              </w:rPr>
              <w:t>”）、埃克森美孚中国投资私人有限公司（“</w:t>
            </w:r>
            <w:r>
              <w:rPr>
                <w:rFonts w:hint="eastAsia" w:ascii="Times New Roman" w:hAnsi="Times New Roman" w:eastAsia="仿宋_GB2312"/>
                <w:b/>
                <w:sz w:val="28"/>
                <w:szCs w:val="28"/>
              </w:rPr>
              <w:t>埃克森美孚中国</w:t>
            </w:r>
            <w:r>
              <w:rPr>
                <w:rFonts w:hint="eastAsia" w:ascii="Times New Roman" w:hAnsi="Times New Roman" w:eastAsia="仿宋_GB2312"/>
                <w:sz w:val="28"/>
                <w:szCs w:val="28"/>
              </w:rPr>
              <w:t>”，与孚宝中国合称“</w:t>
            </w:r>
            <w:r>
              <w:rPr>
                <w:rFonts w:hint="eastAsia" w:ascii="Times New Roman" w:hAnsi="Times New Roman" w:eastAsia="仿宋_GB2312"/>
                <w:b/>
                <w:sz w:val="28"/>
                <w:szCs w:val="28"/>
              </w:rPr>
              <w:t>交易方</w:t>
            </w:r>
            <w:r>
              <w:rPr>
                <w:rFonts w:hint="eastAsia" w:ascii="Times New Roman" w:hAnsi="Times New Roman" w:eastAsia="仿宋_GB2312"/>
                <w:sz w:val="28"/>
                <w:szCs w:val="28"/>
              </w:rPr>
              <w:t>”）和惠州荃美石化仓储有限公司（“</w:t>
            </w:r>
            <w:r>
              <w:rPr>
                <w:rFonts w:hint="eastAsia" w:ascii="Times New Roman" w:hAnsi="Times New Roman" w:eastAsia="仿宋_GB2312"/>
                <w:b/>
                <w:sz w:val="28"/>
                <w:szCs w:val="28"/>
              </w:rPr>
              <w:t>惠州荃美</w:t>
            </w:r>
            <w:r>
              <w:rPr>
                <w:rFonts w:hint="eastAsia" w:ascii="Times New Roman" w:hAnsi="Times New Roman" w:eastAsia="仿宋_GB2312"/>
                <w:sz w:val="28"/>
                <w:szCs w:val="28"/>
              </w:rPr>
              <w:t>”或“</w:t>
            </w:r>
            <w:r>
              <w:rPr>
                <w:rFonts w:hint="eastAsia" w:ascii="Times New Roman" w:hAnsi="Times New Roman" w:eastAsia="仿宋_GB2312"/>
                <w:b/>
                <w:sz w:val="28"/>
                <w:szCs w:val="28"/>
              </w:rPr>
              <w:t>目标公司</w:t>
            </w:r>
            <w:r>
              <w:rPr>
                <w:rFonts w:hint="eastAsia" w:ascii="Times New Roman" w:hAnsi="Times New Roman" w:eastAsia="仿宋_GB2312"/>
                <w:sz w:val="28"/>
                <w:szCs w:val="28"/>
              </w:rPr>
              <w:t>”）订立了《认购协议》，约定埃克森美孚中国和孚宝中国拟共同认购目标公司的新增注册资本（“</w:t>
            </w:r>
            <w:r>
              <w:rPr>
                <w:rFonts w:hint="eastAsia" w:ascii="Times New Roman" w:hAnsi="Times New Roman" w:eastAsia="仿宋_GB2312"/>
                <w:b/>
                <w:sz w:val="28"/>
                <w:szCs w:val="28"/>
              </w:rPr>
              <w:t>拟议交易</w:t>
            </w:r>
            <w:r>
              <w:rPr>
                <w:rFonts w:hint="eastAsia" w:ascii="Times New Roman" w:hAnsi="Times New Roman" w:eastAsia="仿宋_GB2312"/>
                <w:sz w:val="28"/>
                <w:szCs w:val="28"/>
              </w:rPr>
              <w:t>”）。目前，目标公司由埃克森美孚中国全资持有并控制。拟议交易完成后，埃克森美孚中国和孚宝中国将分别持有目标公司70%和30%的股权，并共同控制目标公司。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参与集中的经营者简介</w:t>
            </w:r>
          </w:p>
        </w:tc>
        <w:tc>
          <w:tcPr>
            <w:tcW w:w="1796"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w:t>
            </w:r>
            <w:r>
              <w:rPr>
                <w:rFonts w:ascii="Times New Roman" w:hAnsi="Times New Roman" w:eastAsia="仿宋_GB2312"/>
                <w:sz w:val="28"/>
                <w:szCs w:val="28"/>
              </w:rPr>
              <w:t>孚宝中国</w:t>
            </w:r>
          </w:p>
        </w:tc>
        <w:tc>
          <w:tcPr>
            <w:tcW w:w="5153"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孚宝中国</w:t>
            </w:r>
            <w:r>
              <w:rPr>
                <w:rFonts w:hint="eastAsia" w:ascii="Times New Roman" w:hAnsi="Times New Roman" w:eastAsia="仿宋_GB2312"/>
                <w:sz w:val="28"/>
                <w:szCs w:val="28"/>
              </w:rPr>
              <w:t>1</w:t>
            </w:r>
            <w:r>
              <w:rPr>
                <w:rFonts w:ascii="Times New Roman" w:hAnsi="Times New Roman" w:eastAsia="仿宋_GB2312"/>
                <w:sz w:val="28"/>
                <w:szCs w:val="28"/>
              </w:rPr>
              <w:t>975年成立于荷兰</w:t>
            </w:r>
            <w:r>
              <w:rPr>
                <w:rFonts w:hint="eastAsia" w:ascii="Times New Roman" w:hAnsi="Times New Roman" w:eastAsia="仿宋_GB2312"/>
                <w:sz w:val="28"/>
                <w:szCs w:val="28"/>
              </w:rPr>
              <w:t>，在全球从事石油化工液体气体产品码头仓储服务。其最终控制人荷兰皇家孚宝集团有限公司在全球运营海港仓储码头，并向其客户提供通用仓储和物流服务。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1796" w:type="dxa"/>
          </w:tcPr>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2、埃克森美孚中国</w:t>
            </w:r>
          </w:p>
        </w:tc>
        <w:tc>
          <w:tcPr>
            <w:tcW w:w="5153"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埃克森美孚中国</w:t>
            </w:r>
            <w:r>
              <w:rPr>
                <w:rFonts w:hint="eastAsia" w:ascii="Times New Roman" w:hAnsi="Times New Roman" w:eastAsia="仿宋_GB2312"/>
                <w:sz w:val="28"/>
                <w:szCs w:val="28"/>
              </w:rPr>
              <w:t>2</w:t>
            </w:r>
            <w:r>
              <w:rPr>
                <w:rFonts w:ascii="Times New Roman" w:hAnsi="Times New Roman" w:eastAsia="仿宋_GB2312"/>
                <w:sz w:val="28"/>
                <w:szCs w:val="28"/>
              </w:rPr>
              <w:t>018年成立于新加坡</w:t>
            </w:r>
            <w:r>
              <w:rPr>
                <w:rFonts w:hint="eastAsia" w:ascii="Times New Roman" w:hAnsi="Times New Roman" w:eastAsia="仿宋_GB2312"/>
                <w:sz w:val="28"/>
                <w:szCs w:val="28"/>
              </w:rPr>
              <w:t>，是一家投资控股公司。其最终控制人埃克森美孚公司在全球范围内的业务包括原油和天然气的勘探、开发、生产和销售，精炼石油产品的提炼和营销，各种化工产品的开发、生产和销售，生产和销售润滑油及特种产品，以及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简易案件理由（可以单选，也可以多选）</w:t>
            </w: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ascii="Times New Roman" w:hAnsi="Times New Roman" w:eastAsia="仿宋_GB2312"/>
                <w:sz w:val="28"/>
                <w:szCs w:val="28"/>
              </w:rPr>
              <w:sym w:font="Wingdings" w:char="F0FE"/>
            </w:r>
            <w:r>
              <w:rPr>
                <w:rFonts w:ascii="Times New Roman" w:hAnsi="Times New Roman" w:eastAsia="仿宋_GB2312"/>
                <w:sz w:val="28"/>
                <w:szCs w:val="28"/>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tcPr>
          <w:p>
            <w:pPr>
              <w:spacing w:line="500" w:lineRule="exact"/>
              <w:rPr>
                <w:rFonts w:ascii="Times New Roman" w:hAnsi="Times New Roman" w:eastAsia="仿宋_GB2312"/>
                <w:sz w:val="28"/>
                <w:szCs w:val="28"/>
              </w:rPr>
            </w:pPr>
          </w:p>
        </w:tc>
        <w:tc>
          <w:tcPr>
            <w:tcW w:w="6949" w:type="dxa"/>
            <w:gridSpan w:val="2"/>
          </w:tcPr>
          <w:p>
            <w:pPr>
              <w:spacing w:line="500" w:lineRule="exact"/>
              <w:rPr>
                <w:rFonts w:ascii="Times New Roman" w:hAnsi="Times New Roman" w:eastAsia="仿宋_GB2312"/>
                <w:sz w:val="28"/>
                <w:szCs w:val="28"/>
              </w:rPr>
            </w:pPr>
            <w:r>
              <w:rPr>
                <w:rFonts w:hint="eastAsia" w:ascii="仿宋_GB2312" w:hAnsi="Times New Roman" w:eastAsia="仿宋_GB2312"/>
                <w:sz w:val="28"/>
                <w:szCs w:val="28"/>
              </w:rPr>
              <w:t>□</w:t>
            </w:r>
            <w:r>
              <w:rPr>
                <w:rFonts w:ascii="Times New Roman" w:hAnsi="Times New Roman" w:eastAsia="仿宋_GB2312"/>
                <w:sz w:val="28"/>
                <w:szCs w:val="28"/>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Times New Roman" w:hAnsi="Times New Roman" w:eastAsia="仿宋_GB2312"/>
                <w:sz w:val="28"/>
                <w:szCs w:val="28"/>
              </w:rPr>
            </w:pPr>
            <w:r>
              <w:rPr>
                <w:rFonts w:ascii="Times New Roman" w:hAnsi="Times New Roman" w:eastAsia="仿宋_GB2312"/>
                <w:sz w:val="28"/>
                <w:szCs w:val="28"/>
              </w:rPr>
              <w:t>备注</w:t>
            </w:r>
          </w:p>
        </w:tc>
        <w:tc>
          <w:tcPr>
            <w:tcW w:w="6949" w:type="dxa"/>
            <w:gridSpan w:val="2"/>
          </w:tcPr>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1"/>
              <w:gridCol w:w="2241"/>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相关产品市场</w:t>
                  </w:r>
                </w:p>
              </w:tc>
              <w:tc>
                <w:tcPr>
                  <w:tcW w:w="2241"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相关地域市场</w:t>
                  </w:r>
                </w:p>
              </w:tc>
              <w:tc>
                <w:tcPr>
                  <w:tcW w:w="2241"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上游</w:t>
                  </w:r>
                  <w:r>
                    <w:rPr>
                      <w:rFonts w:hint="eastAsia" w:ascii="Times New Roman" w:hAnsi="Times New Roman" w:eastAsia="仿宋_GB2312"/>
                      <w:sz w:val="28"/>
                      <w:szCs w:val="28"/>
                    </w:rPr>
                    <w:t>：</w:t>
                  </w:r>
                  <w:r>
                    <w:rPr>
                      <w:rFonts w:ascii="Times New Roman" w:hAnsi="Times New Roman" w:eastAsia="仿宋_GB2312"/>
                      <w:sz w:val="28"/>
                      <w:szCs w:val="28"/>
                    </w:rPr>
                    <w:t>石油化工液体气体产品</w:t>
                  </w:r>
                  <w:bookmarkStart w:id="0" w:name="_GoBack"/>
                  <w:bookmarkEnd w:id="0"/>
                </w:p>
              </w:tc>
              <w:tc>
                <w:tcPr>
                  <w:tcW w:w="2241"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惠州大亚湾经济技术开发区</w:t>
                  </w:r>
                </w:p>
              </w:tc>
              <w:tc>
                <w:tcPr>
                  <w:tcW w:w="2241"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埃克森美孚</w:t>
                  </w:r>
                  <w:r>
                    <w:rPr>
                      <w:rFonts w:hint="eastAsia" w:ascii="Times New Roman" w:hAnsi="Times New Roman" w:eastAsia="仿宋_GB2312"/>
                      <w:sz w:val="28"/>
                      <w:szCs w:val="28"/>
                    </w:rPr>
                    <w:t>：[</w:t>
                  </w:r>
                  <w:r>
                    <w:rPr>
                      <w:rFonts w:ascii="Times New Roman" w:hAnsi="Times New Roman" w:eastAsia="仿宋_GB2312"/>
                      <w:sz w:val="28"/>
                      <w:szCs w:val="28"/>
                    </w:rPr>
                    <w:t>5-10]%（预计）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下游</w:t>
                  </w:r>
                  <w:r>
                    <w:rPr>
                      <w:rFonts w:hint="eastAsia" w:ascii="Times New Roman" w:hAnsi="Times New Roman" w:eastAsia="仿宋_GB2312"/>
                      <w:sz w:val="28"/>
                      <w:szCs w:val="28"/>
                    </w:rPr>
                    <w:t>：</w:t>
                  </w:r>
                  <w:r>
                    <w:rPr>
                      <w:rFonts w:ascii="Times New Roman" w:hAnsi="Times New Roman" w:eastAsia="仿宋_GB2312"/>
                      <w:sz w:val="28"/>
                      <w:szCs w:val="28"/>
                    </w:rPr>
                    <w:t>石油化工液体气体产品码头仓储服务市场</w:t>
                  </w:r>
                </w:p>
              </w:tc>
              <w:tc>
                <w:tcPr>
                  <w:tcW w:w="2241" w:type="dxa"/>
                </w:tcPr>
                <w:p>
                  <w:pPr>
                    <w:spacing w:line="500" w:lineRule="exact"/>
                    <w:rPr>
                      <w:rFonts w:ascii="Times New Roman" w:hAnsi="Times New Roman" w:eastAsia="仿宋_GB2312"/>
                      <w:sz w:val="28"/>
                      <w:szCs w:val="28"/>
                    </w:rPr>
                  </w:pPr>
                  <w:r>
                    <w:rPr>
                      <w:rFonts w:ascii="Times New Roman" w:hAnsi="Times New Roman" w:eastAsia="仿宋_GB2312"/>
                      <w:sz w:val="28"/>
                      <w:szCs w:val="28"/>
                    </w:rPr>
                    <w:t>惠州大亚湾经济技术开发区</w:t>
                  </w:r>
                </w:p>
              </w:tc>
              <w:tc>
                <w:tcPr>
                  <w:tcW w:w="2241" w:type="dxa"/>
                </w:tcPr>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目标公司：[</w:t>
                  </w:r>
                  <w:r>
                    <w:rPr>
                      <w:rFonts w:ascii="Times New Roman" w:hAnsi="Times New Roman" w:eastAsia="仿宋_GB2312"/>
                      <w:sz w:val="28"/>
                      <w:szCs w:val="28"/>
                    </w:rPr>
                    <w:t>15</w:t>
                  </w:r>
                  <w:r>
                    <w:rPr>
                      <w:rFonts w:hint="eastAsia" w:ascii="Times New Roman" w:hAnsi="Times New Roman" w:eastAsia="仿宋_GB2312"/>
                      <w:sz w:val="28"/>
                      <w:szCs w:val="28"/>
                    </w:rPr>
                    <w:t>-</w:t>
                  </w:r>
                  <w:r>
                    <w:rPr>
                      <w:rFonts w:ascii="Times New Roman" w:hAnsi="Times New Roman" w:eastAsia="仿宋_GB2312"/>
                      <w:sz w:val="28"/>
                      <w:szCs w:val="28"/>
                    </w:rPr>
                    <w:t>20]</w:t>
                  </w:r>
                  <w:r>
                    <w:rPr>
                      <w:rFonts w:hint="eastAsia" w:ascii="Times New Roman" w:hAnsi="Times New Roman" w:eastAsia="仿宋_GB2312"/>
                      <w:sz w:val="28"/>
                      <w:szCs w:val="28"/>
                    </w:rPr>
                    <w:t>%</w:t>
                  </w:r>
                  <w:r>
                    <w:rPr>
                      <w:rFonts w:ascii="Times New Roman" w:hAnsi="Times New Roman" w:eastAsia="仿宋_GB2312"/>
                      <w:sz w:val="28"/>
                      <w:szCs w:val="28"/>
                    </w:rPr>
                    <w:t>（预计）</w:t>
                  </w:r>
                </w:p>
              </w:tc>
            </w:tr>
          </w:tbl>
          <w:p>
            <w:pPr>
              <w:spacing w:line="500" w:lineRule="exact"/>
              <w:rPr>
                <w:rFonts w:ascii="Times New Roman" w:hAnsi="Times New Roman" w:eastAsia="仿宋_GB2312"/>
                <w:sz w:val="28"/>
                <w:szCs w:val="28"/>
              </w:rPr>
            </w:pPr>
          </w:p>
        </w:tc>
      </w:tr>
    </w:tbl>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NotTrackFormattin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100A1"/>
    <w:rsid w:val="000352AF"/>
    <w:rsid w:val="00040B55"/>
    <w:rsid w:val="00045653"/>
    <w:rsid w:val="00050DC7"/>
    <w:rsid w:val="000677C0"/>
    <w:rsid w:val="0007346C"/>
    <w:rsid w:val="00077988"/>
    <w:rsid w:val="00082207"/>
    <w:rsid w:val="0008693D"/>
    <w:rsid w:val="00091462"/>
    <w:rsid w:val="00094095"/>
    <w:rsid w:val="00096AEF"/>
    <w:rsid w:val="000E7773"/>
    <w:rsid w:val="001015A6"/>
    <w:rsid w:val="00113C30"/>
    <w:rsid w:val="00125628"/>
    <w:rsid w:val="001430D6"/>
    <w:rsid w:val="00193615"/>
    <w:rsid w:val="001B683F"/>
    <w:rsid w:val="001D1C76"/>
    <w:rsid w:val="001F4236"/>
    <w:rsid w:val="001F6976"/>
    <w:rsid w:val="0020168A"/>
    <w:rsid w:val="0020710D"/>
    <w:rsid w:val="00217041"/>
    <w:rsid w:val="00245776"/>
    <w:rsid w:val="00256CDF"/>
    <w:rsid w:val="0028764C"/>
    <w:rsid w:val="002A15BB"/>
    <w:rsid w:val="002B1805"/>
    <w:rsid w:val="002B5865"/>
    <w:rsid w:val="002C2F74"/>
    <w:rsid w:val="002F1B15"/>
    <w:rsid w:val="002F2D60"/>
    <w:rsid w:val="002F4CAC"/>
    <w:rsid w:val="002F5D2C"/>
    <w:rsid w:val="00303122"/>
    <w:rsid w:val="003072C7"/>
    <w:rsid w:val="00307976"/>
    <w:rsid w:val="00317B10"/>
    <w:rsid w:val="00317F92"/>
    <w:rsid w:val="00322739"/>
    <w:rsid w:val="003352A6"/>
    <w:rsid w:val="00335871"/>
    <w:rsid w:val="003447A1"/>
    <w:rsid w:val="0034794A"/>
    <w:rsid w:val="003641BC"/>
    <w:rsid w:val="003728AD"/>
    <w:rsid w:val="0037471B"/>
    <w:rsid w:val="00374B8A"/>
    <w:rsid w:val="0038009B"/>
    <w:rsid w:val="003B1B0B"/>
    <w:rsid w:val="003D0DC2"/>
    <w:rsid w:val="003E7BA4"/>
    <w:rsid w:val="003F7F2C"/>
    <w:rsid w:val="00411328"/>
    <w:rsid w:val="00433FC3"/>
    <w:rsid w:val="00434B73"/>
    <w:rsid w:val="0044753F"/>
    <w:rsid w:val="004558B4"/>
    <w:rsid w:val="004571A2"/>
    <w:rsid w:val="004579A1"/>
    <w:rsid w:val="00462174"/>
    <w:rsid w:val="0046767F"/>
    <w:rsid w:val="0048457B"/>
    <w:rsid w:val="004C4EF8"/>
    <w:rsid w:val="004D5718"/>
    <w:rsid w:val="004D63C1"/>
    <w:rsid w:val="004E6409"/>
    <w:rsid w:val="004F3BF8"/>
    <w:rsid w:val="004F74AF"/>
    <w:rsid w:val="005129DC"/>
    <w:rsid w:val="005148A2"/>
    <w:rsid w:val="005202B8"/>
    <w:rsid w:val="005235A8"/>
    <w:rsid w:val="00547D47"/>
    <w:rsid w:val="00555C3E"/>
    <w:rsid w:val="00564F5D"/>
    <w:rsid w:val="00566BDD"/>
    <w:rsid w:val="00576828"/>
    <w:rsid w:val="00580A39"/>
    <w:rsid w:val="00595357"/>
    <w:rsid w:val="005A1DBF"/>
    <w:rsid w:val="005A4CB4"/>
    <w:rsid w:val="005B26C0"/>
    <w:rsid w:val="005D3849"/>
    <w:rsid w:val="005D49CC"/>
    <w:rsid w:val="005F0CAB"/>
    <w:rsid w:val="005F167B"/>
    <w:rsid w:val="005F1D28"/>
    <w:rsid w:val="005F5496"/>
    <w:rsid w:val="00654882"/>
    <w:rsid w:val="00661C72"/>
    <w:rsid w:val="0066507E"/>
    <w:rsid w:val="006915CB"/>
    <w:rsid w:val="00695297"/>
    <w:rsid w:val="006A5595"/>
    <w:rsid w:val="006B46C8"/>
    <w:rsid w:val="006F0BA9"/>
    <w:rsid w:val="00716350"/>
    <w:rsid w:val="00717878"/>
    <w:rsid w:val="0071797B"/>
    <w:rsid w:val="00730562"/>
    <w:rsid w:val="00732FA4"/>
    <w:rsid w:val="0075576E"/>
    <w:rsid w:val="007650D2"/>
    <w:rsid w:val="00772472"/>
    <w:rsid w:val="00777CC9"/>
    <w:rsid w:val="00790BCC"/>
    <w:rsid w:val="00792708"/>
    <w:rsid w:val="007A6E43"/>
    <w:rsid w:val="007B0FA1"/>
    <w:rsid w:val="007B4705"/>
    <w:rsid w:val="007C7059"/>
    <w:rsid w:val="007F05BD"/>
    <w:rsid w:val="008000ED"/>
    <w:rsid w:val="0081144E"/>
    <w:rsid w:val="00820CC2"/>
    <w:rsid w:val="008469BB"/>
    <w:rsid w:val="00867DF8"/>
    <w:rsid w:val="00894BE7"/>
    <w:rsid w:val="00895929"/>
    <w:rsid w:val="00897511"/>
    <w:rsid w:val="008A6BD6"/>
    <w:rsid w:val="008B112B"/>
    <w:rsid w:val="008C154B"/>
    <w:rsid w:val="008C3586"/>
    <w:rsid w:val="008D34EE"/>
    <w:rsid w:val="008E5D22"/>
    <w:rsid w:val="00930FF2"/>
    <w:rsid w:val="00937CFD"/>
    <w:rsid w:val="009464AA"/>
    <w:rsid w:val="00946D9D"/>
    <w:rsid w:val="00956066"/>
    <w:rsid w:val="00972D0E"/>
    <w:rsid w:val="0098423D"/>
    <w:rsid w:val="009B0588"/>
    <w:rsid w:val="009C0674"/>
    <w:rsid w:val="009D2FAD"/>
    <w:rsid w:val="00A03CB5"/>
    <w:rsid w:val="00A27451"/>
    <w:rsid w:val="00A41371"/>
    <w:rsid w:val="00A54A96"/>
    <w:rsid w:val="00A577F4"/>
    <w:rsid w:val="00A92B80"/>
    <w:rsid w:val="00AA3B5D"/>
    <w:rsid w:val="00AA64BC"/>
    <w:rsid w:val="00AB0CB5"/>
    <w:rsid w:val="00AD06A4"/>
    <w:rsid w:val="00AD3A60"/>
    <w:rsid w:val="00AE4447"/>
    <w:rsid w:val="00AF7325"/>
    <w:rsid w:val="00B205CD"/>
    <w:rsid w:val="00B21581"/>
    <w:rsid w:val="00B24159"/>
    <w:rsid w:val="00B25AB1"/>
    <w:rsid w:val="00B272B8"/>
    <w:rsid w:val="00B332B0"/>
    <w:rsid w:val="00B336F3"/>
    <w:rsid w:val="00B41110"/>
    <w:rsid w:val="00B62047"/>
    <w:rsid w:val="00B912EB"/>
    <w:rsid w:val="00BA0750"/>
    <w:rsid w:val="00BA63E8"/>
    <w:rsid w:val="00BB17DB"/>
    <w:rsid w:val="00BB2377"/>
    <w:rsid w:val="00BF0AB5"/>
    <w:rsid w:val="00BF49D5"/>
    <w:rsid w:val="00C063FA"/>
    <w:rsid w:val="00C11942"/>
    <w:rsid w:val="00C21621"/>
    <w:rsid w:val="00C26C7F"/>
    <w:rsid w:val="00C3228B"/>
    <w:rsid w:val="00C40E5F"/>
    <w:rsid w:val="00C4664E"/>
    <w:rsid w:val="00C8372F"/>
    <w:rsid w:val="00C8421A"/>
    <w:rsid w:val="00C9068E"/>
    <w:rsid w:val="00C96B80"/>
    <w:rsid w:val="00CA08FC"/>
    <w:rsid w:val="00CB2A9F"/>
    <w:rsid w:val="00CB4EF2"/>
    <w:rsid w:val="00CC2CC0"/>
    <w:rsid w:val="00CC417C"/>
    <w:rsid w:val="00CC5ABD"/>
    <w:rsid w:val="00CD09C3"/>
    <w:rsid w:val="00CF13DB"/>
    <w:rsid w:val="00D153B8"/>
    <w:rsid w:val="00D21777"/>
    <w:rsid w:val="00D45987"/>
    <w:rsid w:val="00DB1E7B"/>
    <w:rsid w:val="00DB247F"/>
    <w:rsid w:val="00DC0369"/>
    <w:rsid w:val="00DC20A5"/>
    <w:rsid w:val="00DD21F9"/>
    <w:rsid w:val="00DE0A14"/>
    <w:rsid w:val="00DE243D"/>
    <w:rsid w:val="00E06AB9"/>
    <w:rsid w:val="00E165AD"/>
    <w:rsid w:val="00E26150"/>
    <w:rsid w:val="00E35A89"/>
    <w:rsid w:val="00E37584"/>
    <w:rsid w:val="00E44E83"/>
    <w:rsid w:val="00E63F70"/>
    <w:rsid w:val="00E81B19"/>
    <w:rsid w:val="00E95F36"/>
    <w:rsid w:val="00E9684C"/>
    <w:rsid w:val="00E97E1F"/>
    <w:rsid w:val="00EB2F0C"/>
    <w:rsid w:val="00ED21B1"/>
    <w:rsid w:val="00EF121D"/>
    <w:rsid w:val="00F03796"/>
    <w:rsid w:val="00F14A5B"/>
    <w:rsid w:val="00F31673"/>
    <w:rsid w:val="00F43B71"/>
    <w:rsid w:val="00F57F3A"/>
    <w:rsid w:val="00F65475"/>
    <w:rsid w:val="00F66990"/>
    <w:rsid w:val="00F73188"/>
    <w:rsid w:val="00F85CE2"/>
    <w:rsid w:val="00F87C1F"/>
    <w:rsid w:val="00FA0520"/>
    <w:rsid w:val="00FB7284"/>
    <w:rsid w:val="00FC793D"/>
    <w:rsid w:val="00FE7ECD"/>
    <w:rsid w:val="00FF52B1"/>
    <w:rsid w:val="0A5B1581"/>
    <w:rsid w:val="0D6B7701"/>
    <w:rsid w:val="3DEA4C8C"/>
    <w:rsid w:val="3EFD0382"/>
  </w:rsids>
  <m:mathPr>
    <m:mathFont m:val="Cambria Math"/>
    <m:brkBin m:val="before"/>
    <m:brkBinSub m:val="--"/>
    <m:smallFrac m:val="1"/>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endnote text"/>
    <w:basedOn w:val="1"/>
    <w:link w:val="10"/>
    <w:semiHidden/>
    <w:unhideWhenUsed/>
    <w:qFormat/>
    <w:uiPriority w:val="99"/>
    <w:pPr>
      <w:snapToGrid w:val="0"/>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ndnote reference"/>
    <w:semiHidden/>
    <w:unhideWhenUsed/>
    <w:qFormat/>
    <w:uiPriority w:val="99"/>
    <w:rPr>
      <w:vertAlign w:val="superscript"/>
    </w:rPr>
  </w:style>
  <w:style w:type="character" w:customStyle="1" w:styleId="10">
    <w:name w:val="尾注文本 Char"/>
    <w:basedOn w:val="8"/>
    <w:link w:val="2"/>
    <w:semiHidden/>
    <w:qFormat/>
    <w:uiPriority w:val="99"/>
  </w:style>
  <w:style w:type="character" w:customStyle="1" w:styleId="11">
    <w:name w:val="页眉 Char"/>
    <w:link w:val="5"/>
    <w:qFormat/>
    <w:uiPriority w:val="99"/>
    <w:rPr>
      <w:sz w:val="18"/>
      <w:szCs w:val="18"/>
    </w:rPr>
  </w:style>
  <w:style w:type="character" w:customStyle="1" w:styleId="12">
    <w:name w:val="页脚 Char"/>
    <w:link w:val="4"/>
    <w:qFormat/>
    <w:uiPriority w:val="99"/>
    <w:rPr>
      <w:sz w:val="18"/>
      <w:szCs w:val="18"/>
    </w:rPr>
  </w:style>
  <w:style w:type="character" w:customStyle="1" w:styleId="13">
    <w:name w:val="批注框文本 Char"/>
    <w:basedOn w:val="8"/>
    <w:link w:val="3"/>
    <w:semiHidden/>
    <w:qFormat/>
    <w:uiPriority w:val="99"/>
    <w:rPr>
      <w:kern w:val="2"/>
      <w:sz w:val="18"/>
      <w:szCs w:val="18"/>
      <w:lang w:val="en-US"/>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02760A-E043-430D-9F04-2BC1F22D160C}">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801</Characters>
  <Lines>6</Lines>
  <Paragraphs>1</Paragraphs>
  <TotalTime>2</TotalTime>
  <ScaleCrop>false</ScaleCrop>
  <LinksUpToDate>false</LinksUpToDate>
  <CharactersWithSpaces>940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2021-11-10T14:44:00Z</dcterms:created>
  <dc:creator>dell</dc:creator>
  <cp:lastModifiedBy>张洪磊</cp:lastModifiedBy>
  <cp:lastPrinted>2014-10-08T02:48:00Z</cp:lastPrinted>
  <dcterms:modified xsi:type="dcterms:W3CDTF">2021-12-09T01:47:27Z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10023572</vt:lpwstr>
  </property>
  <property fmtid="{D5CDD505-2E9C-101B-9397-08002B2CF9AE}" pid="3" name="DEDocumentLocation">
    <vt:lpwstr>C:\Users\lvzhou\AppData\Local\Linklaters\DocExplorer\Attachments\A41104241 v0.2 简易案件公示表 - LL comments.docx</vt:lpwstr>
  </property>
  <property fmtid="{D5CDD505-2E9C-101B-9397-08002B2CF9AE}" pid="4" name="Document Number">
    <vt:lpwstr>A41104241</vt:lpwstr>
  </property>
  <property fmtid="{D5CDD505-2E9C-101B-9397-08002B2CF9AE}" pid="5" name="Last Modified">
    <vt:lpwstr>17 Feb 2020</vt:lpwstr>
  </property>
  <property fmtid="{D5CDD505-2E9C-101B-9397-08002B2CF9AE}" pid="6" name="Matter Number">
    <vt:lpwstr>L-247961</vt:lpwstr>
  </property>
  <property fmtid="{D5CDD505-2E9C-101B-9397-08002B2CF9AE}" pid="7" name="Mode">
    <vt:lpwstr>SendAs</vt:lpwstr>
  </property>
  <property fmtid="{D5CDD505-2E9C-101B-9397-08002B2CF9AE}" pid="8" name="Version">
    <vt:lpwstr>0.2</vt:lpwstr>
  </property>
  <property fmtid="{D5CDD505-2E9C-101B-9397-08002B2CF9AE}" pid="9" name="DOC_GUID">
    <vt:lpwstr>6d74f303-798f-4abd-8b3e-59dca91e53a7</vt:lpwstr>
  </property>
  <property fmtid="{D5CDD505-2E9C-101B-9397-08002B2CF9AE}" pid="10" name="ObjectID">
    <vt:lpwstr>09001dc89457df77</vt:lpwstr>
  </property>
  <property fmtid="{D5CDD505-2E9C-101B-9397-08002B2CF9AE}" pid="11" name="_MarkAsFinal">
    <vt:bool>false</vt:bool>
  </property>
  <property fmtid="{D5CDD505-2E9C-101B-9397-08002B2CF9AE}" pid="12" name="_NewReviewCycle">
    <vt:lpwstr/>
  </property>
  <property fmtid="{D5CDD505-2E9C-101B-9397-08002B2CF9AE}" pid="13" name="KSOProductBuildVer">
    <vt:lpwstr>2052-11.8.2.10393</vt:lpwstr>
  </property>
</Properties>
</file>