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经营者集中简易案件公示表</w:t>
      </w:r>
    </w:p>
    <w:p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4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嘉能可公司收购旺多恩合营企业等两家公司股权案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交易概况（限200字内）</w:t>
            </w:r>
          </w:p>
        </w:tc>
        <w:tc>
          <w:tcPr>
            <w:tcW w:w="6550" w:type="dxa"/>
            <w:gridSpan w:val="2"/>
          </w:tcPr>
          <w:p>
            <w:pPr>
              <w:tabs>
                <w:tab w:val="left" w:pos="651"/>
              </w:tabs>
              <w:spacing w:before="156" w:beforeLines="50" w:after="156" w:afterLines="50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r>
              <w:rPr>
                <w:rFonts w:hint="eastAsia" w:ascii="Times New Roman" w:hAnsi="Times New Roman"/>
                <w:color w:val="000000"/>
                <w:szCs w:val="24"/>
              </w:rPr>
              <w:t>根据交易协议，嘉能可公司（“</w:t>
            </w:r>
            <w:r>
              <w:rPr>
                <w:rFonts w:hint="eastAsia" w:ascii="Times New Roman" w:hAnsi="Times New Roman"/>
                <w:b/>
                <w:bCs/>
                <w:color w:val="000000"/>
                <w:szCs w:val="24"/>
              </w:rPr>
              <w:t>嘉能可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”）拟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从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伊藤忠商事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分别收购其间接持有的旺多恩合营企业和彭特兰-密尔雷合营企业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 w:eastAsia="zh-CN"/>
              </w:rPr>
              <w:t>各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12.5%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/>
              </w:rPr>
              <w:t>的股权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。拟议交易前，嘉能可、伊藤忠商事和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住商煤炭澳大利亚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/>
              </w:rPr>
              <w:t>控股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私人有限公司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/>
              </w:rPr>
              <w:t>（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“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GB"/>
              </w:rPr>
              <w:t>住商煤炭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”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/>
              </w:rPr>
              <w:t>）分别间接持有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旺多恩合营企业和彭特兰-密尔雷合营企业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 w:eastAsia="zh-CN"/>
              </w:rPr>
              <w:t>各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/>
              </w:rPr>
              <w:t>7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0%，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2.5%和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2.5%的股权，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 w:eastAsia="zh-CN"/>
              </w:rPr>
              <w:t>实施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共同控制。</w:t>
            </w:r>
            <w:r>
              <w:rPr>
                <w:rFonts w:ascii="Times New Roman" w:hAnsi="Times New Roman"/>
                <w:color w:val="000000"/>
                <w:szCs w:val="24"/>
              </w:rPr>
              <w:t>拟议交易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完成后，嘉能可和住商</w:t>
            </w:r>
            <w:r>
              <w:rPr>
                <w:rFonts w:hint="eastAsia" w:ascii="Times New Roman" w:hAnsi="Times New Roman"/>
                <w:color w:val="000000"/>
                <w:szCs w:val="24"/>
                <w:lang w:eastAsia="zh-CN"/>
              </w:rPr>
              <w:t>煤炭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将分别持有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旺多恩合营企业和彭特兰-密尔雷合营企业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 w:eastAsia="zh-CN"/>
              </w:rPr>
              <w:t>各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/>
              </w:rPr>
              <w:t>8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7.5%和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2.5</w:t>
            </w:r>
            <w:r>
              <w:rPr>
                <w:rFonts w:hint="eastAsia" w:ascii="Times New Roman" w:hAnsi="Times New Roman"/>
                <w:color w:val="000000"/>
                <w:szCs w:val="24"/>
                <w:lang w:val="en-US" w:eastAsia="zh-CN"/>
              </w:rPr>
              <w:t>%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的股权，</w:t>
            </w:r>
            <w:r>
              <w:rPr>
                <w:rFonts w:hint="eastAsia" w:ascii="Times New Roman" w:hAnsi="Times New Roman"/>
                <w:color w:val="000000"/>
                <w:szCs w:val="24"/>
                <w:lang w:val="en-GB" w:eastAsia="zh-CN"/>
              </w:rPr>
              <w:t>实施</w:t>
            </w:r>
            <w:r>
              <w:rPr>
                <w:rFonts w:ascii="Times New Roman" w:hAnsi="Times New Roman"/>
                <w:color w:val="000000"/>
                <w:szCs w:val="24"/>
                <w:lang w:val="en-GB"/>
              </w:rPr>
              <w:t>共同控制。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参与集中的经营者简介</w:t>
            </w: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left="357" w:hanging="357" w:firstLineChars="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嘉能可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嘉能可，注册地位于瑞士，成立于2011年3月14日，2011年5月24日在伦敦证券交易所上市，股票代码为GLEN；2013年11月13日在约翰内斯堡证券交易所上市，股票代码为GLN。嘉能可在全球范围内为工业客户提供广泛的大宗商品和原材料，包括金属、矿产、石油和石油制品、煤炭以及农产品。客户遍布于汽车、钢铁、电力、石油及食品加工行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left="357" w:hanging="357" w:firstLineChars="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住商煤炭澳大利亚控股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住商煤炭澳大利亚控股于1</w:t>
            </w:r>
            <w:r>
              <w:rPr>
                <w:rFonts w:ascii="Times New Roman" w:hAnsi="Times New Roman"/>
                <w:color w:val="000000"/>
                <w:szCs w:val="24"/>
              </w:rPr>
              <w:t>992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年成立于澳大利亚，主要业务是持有住友商事株式会社在澳大利亚的某些煤矿权益。其最终控制人住友商事株式会社于1</w:t>
            </w:r>
            <w:r>
              <w:rPr>
                <w:rFonts w:ascii="Times New Roman" w:hAnsi="Times New Roman"/>
                <w:color w:val="000000"/>
                <w:szCs w:val="24"/>
              </w:rPr>
              <w:t>919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年成立于日本，主要业务领域包括金属、运输和建筑、基础设施、数字媒体、房地产、矿产资源等。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left="357" w:hanging="357" w:firstLineChars="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旺多恩合营企业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旺多恩合营企业是一家于2</w:t>
            </w:r>
            <w:r>
              <w:rPr>
                <w:rFonts w:ascii="Times New Roman" w:hAnsi="Times New Roman"/>
                <w:color w:val="000000"/>
                <w:szCs w:val="24"/>
              </w:rPr>
              <w:t>010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年设立的非公司制合营企业。旺多恩合营企业的主要业务是开发位于苏拉特盆地的旺多恩煤矿。旺多恩合营企业在目前及未来几年内不会从事任何销售活动。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6" w:type="dxa"/>
          </w:tcPr>
          <w:p>
            <w:pPr>
              <w:pStyle w:val="20"/>
              <w:numPr>
                <w:ilvl w:val="0"/>
                <w:numId w:val="1"/>
              </w:numPr>
              <w:spacing w:before="156" w:beforeLines="50" w:after="156" w:afterLines="50"/>
              <w:ind w:left="357" w:hanging="357" w:firstLineChars="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彭特兰-密尔雷合营企业</w:t>
            </w:r>
          </w:p>
        </w:tc>
        <w:tc>
          <w:tcPr>
            <w:tcW w:w="4754" w:type="dxa"/>
          </w:tcPr>
          <w:p>
            <w:pPr>
              <w:spacing w:before="156" w:beforeLines="50" w:after="156" w:afterLines="5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彭特兰-密尔雷合营企业是一家非正式设立的非公司制勘探合营企业。其合营方大约于2</w:t>
            </w:r>
            <w:r>
              <w:rPr>
                <w:rFonts w:ascii="Times New Roman" w:hAnsi="Times New Roman"/>
                <w:color w:val="000000"/>
                <w:szCs w:val="24"/>
              </w:rPr>
              <w:t>003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年9月起按照非正式安排进行合营。彭特兰-密尔雷合营企业的主要业务是开发位于</w:t>
            </w:r>
            <w:r>
              <w:rPr>
                <w:rFonts w:ascii="Times New Roman" w:hAnsi="Times New Roman"/>
                <w:color w:val="000000"/>
                <w:szCs w:val="24"/>
              </w:rPr>
              <w:t>昆士兰州加利里盆地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的</w:t>
            </w:r>
            <w:r>
              <w:rPr>
                <w:rFonts w:hint="eastAsia" w:ascii="Times New Roman" w:hAnsi="Times New Roman"/>
                <w:szCs w:val="24"/>
              </w:rPr>
              <w:t>彭特兰-密尔雷煤矿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。彭特兰-密尔雷合营企业在目前及未来几年内不会从事任何销售活动。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简易案件理由（可以单选，也可以多选）</w:t>
            </w: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 w:eastAsia="黑体"/>
                <w:szCs w:val="21"/>
                <w:lang w:val="en-GB"/>
              </w:rPr>
              <w:sym w:font="Wingdings" w:char="F0FE"/>
            </w:r>
            <w:r>
              <w:rPr>
                <w:rFonts w:ascii="Times New Roman" w:hAnsi="Times New Roman"/>
                <w:szCs w:val="24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Arial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 w:cs="Arial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Arial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4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Arial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Arial"/>
                <w:szCs w:val="24"/>
                <w:lang w:val="en-GB"/>
              </w:rPr>
              <w:sym w:font="Wingdings" w:char="F0A8"/>
            </w:r>
            <w:r>
              <w:rPr>
                <w:rFonts w:ascii="Times New Roman" w:hAnsi="Times New Roman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50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 w:eastAsia="黑体"/>
                <w:szCs w:val="21"/>
                <w:lang w:val="en-GB"/>
              </w:rPr>
              <w:sym w:font="Wingdings" w:char="F0FE"/>
            </w:r>
            <w:r>
              <w:rPr>
                <w:rFonts w:ascii="Times New Roman" w:hAnsi="Times New Roman"/>
                <w:szCs w:val="24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备注</w:t>
            </w:r>
          </w:p>
        </w:tc>
        <w:tc>
          <w:tcPr>
            <w:tcW w:w="6550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相关市场界定及集中各方的市场份额：</w:t>
            </w:r>
          </w:p>
          <w:p>
            <w:pPr>
              <w:spacing w:before="156" w:beforeLines="50" w:after="156" w:afterLines="5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相关产品市场</w:t>
            </w:r>
            <w:r>
              <w:rPr>
                <w:rFonts w:ascii="Times New Roman" w:hAnsi="Times New Roman"/>
                <w:szCs w:val="24"/>
              </w:rPr>
              <w:t>：</w:t>
            </w:r>
            <w:r>
              <w:rPr>
                <w:rFonts w:hint="eastAsia" w:ascii="Times New Roman" w:hAnsi="Times New Roman"/>
                <w:szCs w:val="24"/>
              </w:rPr>
              <w:t>动力煤市场</w:t>
            </w:r>
          </w:p>
          <w:p>
            <w:pPr>
              <w:spacing w:before="156" w:beforeLines="50" w:after="156" w:afterLines="5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相关地域市场</w:t>
            </w:r>
            <w:r>
              <w:rPr>
                <w:rFonts w:ascii="Times New Roman" w:hAnsi="Times New Roman"/>
                <w:szCs w:val="24"/>
              </w:rPr>
              <w:t>：</w:t>
            </w:r>
            <w:r>
              <w:rPr>
                <w:rFonts w:hint="eastAsia" w:ascii="Times New Roman" w:hAnsi="Times New Roman"/>
                <w:szCs w:val="24"/>
              </w:rPr>
              <w:t>中国境内</w:t>
            </w:r>
          </w:p>
          <w:p>
            <w:pPr>
              <w:spacing w:before="156" w:beforeLines="50" w:after="156" w:afterLines="5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市场份额</w:t>
            </w:r>
            <w:r>
              <w:rPr>
                <w:rFonts w:ascii="Times New Roman" w:hAnsi="Times New Roman"/>
                <w:szCs w:val="24"/>
              </w:rPr>
              <w:t>：</w:t>
            </w:r>
          </w:p>
          <w:p>
            <w:pPr>
              <w:spacing w:before="156" w:beforeLines="50"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4"/>
              </w:rPr>
              <w:t>嘉能可：0-</w:t>
            </w: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hint="eastAsia" w:ascii="Times New Roman" w:hAnsi="Times New Roman"/>
                <w:szCs w:val="24"/>
              </w:rPr>
              <w:t>%；住友商事：0-</w:t>
            </w:r>
            <w:r>
              <w:rPr>
                <w:rFonts w:ascii="Times New Roman" w:hAnsi="Times New Roman"/>
                <w:szCs w:val="24"/>
              </w:rPr>
              <w:t>5%；</w:t>
            </w:r>
            <w:r>
              <w:rPr>
                <w:rFonts w:hint="eastAsia" w:ascii="Times New Roman" w:hAnsi="Times New Roman"/>
                <w:szCs w:val="24"/>
              </w:rPr>
              <w:t>旺多恩合营企业：0-</w:t>
            </w: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hint="eastAsia" w:ascii="Times New Roman" w:hAnsi="Times New Roman"/>
                <w:szCs w:val="24"/>
              </w:rPr>
              <w:t>%；彭特兰-密尔雷合营企业：0-</w:t>
            </w: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hint="eastAsia" w:ascii="Times New Roman" w:hAnsi="Times New Roman"/>
                <w:szCs w:val="24"/>
              </w:rPr>
              <w:t>%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9376438"/>
      <w:docPartObj>
        <w:docPartGallery w:val="AutoText"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/>
          </w:rPr>
        </w:sdtEndPr>
        <w:sdtContent>
          <w:p>
            <w:pPr>
              <w:pStyle w:val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lang w:val="zh-CN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A4903"/>
    <w:multiLevelType w:val="multilevel"/>
    <w:tmpl w:val="1C6A49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hideGrammaticalError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05B69"/>
    <w:rsid w:val="00006080"/>
    <w:rsid w:val="00022A59"/>
    <w:rsid w:val="0002587C"/>
    <w:rsid w:val="00045507"/>
    <w:rsid w:val="0005594E"/>
    <w:rsid w:val="00082738"/>
    <w:rsid w:val="00087D30"/>
    <w:rsid w:val="000917F0"/>
    <w:rsid w:val="00094095"/>
    <w:rsid w:val="000A3CA7"/>
    <w:rsid w:val="000B0EC8"/>
    <w:rsid w:val="000C5BC7"/>
    <w:rsid w:val="000E7FC9"/>
    <w:rsid w:val="000F0A89"/>
    <w:rsid w:val="00100B60"/>
    <w:rsid w:val="00113543"/>
    <w:rsid w:val="00117B9E"/>
    <w:rsid w:val="00137BCF"/>
    <w:rsid w:val="001417D8"/>
    <w:rsid w:val="0015166A"/>
    <w:rsid w:val="00165964"/>
    <w:rsid w:val="001913F9"/>
    <w:rsid w:val="00192C2C"/>
    <w:rsid w:val="00193065"/>
    <w:rsid w:val="001935F8"/>
    <w:rsid w:val="001C1B23"/>
    <w:rsid w:val="001E393B"/>
    <w:rsid w:val="0020313A"/>
    <w:rsid w:val="002128F6"/>
    <w:rsid w:val="002158DC"/>
    <w:rsid w:val="00233AB0"/>
    <w:rsid w:val="00245776"/>
    <w:rsid w:val="00262658"/>
    <w:rsid w:val="00266A6B"/>
    <w:rsid w:val="00280D95"/>
    <w:rsid w:val="0029252D"/>
    <w:rsid w:val="002E2C9F"/>
    <w:rsid w:val="002E720A"/>
    <w:rsid w:val="002F2D60"/>
    <w:rsid w:val="002F6FE7"/>
    <w:rsid w:val="00302FE1"/>
    <w:rsid w:val="003048E8"/>
    <w:rsid w:val="003061D7"/>
    <w:rsid w:val="00307976"/>
    <w:rsid w:val="0031093F"/>
    <w:rsid w:val="003145BC"/>
    <w:rsid w:val="00316B15"/>
    <w:rsid w:val="0032355A"/>
    <w:rsid w:val="003C306B"/>
    <w:rsid w:val="003C75D7"/>
    <w:rsid w:val="003D3128"/>
    <w:rsid w:val="003D60DB"/>
    <w:rsid w:val="003F170C"/>
    <w:rsid w:val="004030E1"/>
    <w:rsid w:val="00427074"/>
    <w:rsid w:val="00445F6B"/>
    <w:rsid w:val="00462174"/>
    <w:rsid w:val="004B00C8"/>
    <w:rsid w:val="004B3A56"/>
    <w:rsid w:val="004C2586"/>
    <w:rsid w:val="00507D9C"/>
    <w:rsid w:val="00525467"/>
    <w:rsid w:val="00557102"/>
    <w:rsid w:val="00562F64"/>
    <w:rsid w:val="00563A4C"/>
    <w:rsid w:val="00566CC7"/>
    <w:rsid w:val="00574F2D"/>
    <w:rsid w:val="005830FE"/>
    <w:rsid w:val="005B533D"/>
    <w:rsid w:val="005C3D32"/>
    <w:rsid w:val="005D1309"/>
    <w:rsid w:val="005D1B7F"/>
    <w:rsid w:val="005F167B"/>
    <w:rsid w:val="005F41DD"/>
    <w:rsid w:val="005F5FFA"/>
    <w:rsid w:val="006113D3"/>
    <w:rsid w:val="00616F24"/>
    <w:rsid w:val="006300C0"/>
    <w:rsid w:val="006408AB"/>
    <w:rsid w:val="006447F2"/>
    <w:rsid w:val="00644C5B"/>
    <w:rsid w:val="00656EBD"/>
    <w:rsid w:val="0067330C"/>
    <w:rsid w:val="00675286"/>
    <w:rsid w:val="00692DA5"/>
    <w:rsid w:val="006A4D58"/>
    <w:rsid w:val="006A4F76"/>
    <w:rsid w:val="006A5728"/>
    <w:rsid w:val="006B49BF"/>
    <w:rsid w:val="006B5327"/>
    <w:rsid w:val="006D0734"/>
    <w:rsid w:val="006E4C68"/>
    <w:rsid w:val="00720227"/>
    <w:rsid w:val="00720679"/>
    <w:rsid w:val="007364E2"/>
    <w:rsid w:val="0074694B"/>
    <w:rsid w:val="00785C5F"/>
    <w:rsid w:val="007A0249"/>
    <w:rsid w:val="007C000E"/>
    <w:rsid w:val="007C7803"/>
    <w:rsid w:val="007E2FF5"/>
    <w:rsid w:val="008010AD"/>
    <w:rsid w:val="0080386C"/>
    <w:rsid w:val="008110BD"/>
    <w:rsid w:val="008354FF"/>
    <w:rsid w:val="0084303C"/>
    <w:rsid w:val="008736FC"/>
    <w:rsid w:val="008750C5"/>
    <w:rsid w:val="008764AD"/>
    <w:rsid w:val="00877D76"/>
    <w:rsid w:val="00885D99"/>
    <w:rsid w:val="008926BD"/>
    <w:rsid w:val="0089745C"/>
    <w:rsid w:val="008A7ED7"/>
    <w:rsid w:val="008C10CC"/>
    <w:rsid w:val="008F634B"/>
    <w:rsid w:val="00900557"/>
    <w:rsid w:val="00906CD1"/>
    <w:rsid w:val="009134D0"/>
    <w:rsid w:val="00917AA6"/>
    <w:rsid w:val="0093344B"/>
    <w:rsid w:val="0095347A"/>
    <w:rsid w:val="009733B4"/>
    <w:rsid w:val="0097529A"/>
    <w:rsid w:val="00997099"/>
    <w:rsid w:val="009A7BF2"/>
    <w:rsid w:val="009B22D1"/>
    <w:rsid w:val="009B5555"/>
    <w:rsid w:val="009C1D9D"/>
    <w:rsid w:val="009C5ACB"/>
    <w:rsid w:val="009E544B"/>
    <w:rsid w:val="009F2617"/>
    <w:rsid w:val="009F7FE9"/>
    <w:rsid w:val="00A43A3E"/>
    <w:rsid w:val="00A67610"/>
    <w:rsid w:val="00A73519"/>
    <w:rsid w:val="00A73EC0"/>
    <w:rsid w:val="00A77BD3"/>
    <w:rsid w:val="00AA1A78"/>
    <w:rsid w:val="00AB1BC4"/>
    <w:rsid w:val="00AD646B"/>
    <w:rsid w:val="00AE4C10"/>
    <w:rsid w:val="00B01090"/>
    <w:rsid w:val="00B34D88"/>
    <w:rsid w:val="00B357DC"/>
    <w:rsid w:val="00B60E5E"/>
    <w:rsid w:val="00BA0750"/>
    <w:rsid w:val="00BA16D2"/>
    <w:rsid w:val="00BA4F7F"/>
    <w:rsid w:val="00BA6F07"/>
    <w:rsid w:val="00BA7437"/>
    <w:rsid w:val="00BB2377"/>
    <w:rsid w:val="00BB3798"/>
    <w:rsid w:val="00BB4C43"/>
    <w:rsid w:val="00BC44C2"/>
    <w:rsid w:val="00BC6BEF"/>
    <w:rsid w:val="00BD3D34"/>
    <w:rsid w:val="00BD6EBE"/>
    <w:rsid w:val="00BF0D84"/>
    <w:rsid w:val="00BF6C60"/>
    <w:rsid w:val="00BF7F17"/>
    <w:rsid w:val="00C068D5"/>
    <w:rsid w:val="00C20325"/>
    <w:rsid w:val="00C318CE"/>
    <w:rsid w:val="00C52346"/>
    <w:rsid w:val="00C76979"/>
    <w:rsid w:val="00C8184D"/>
    <w:rsid w:val="00C9068E"/>
    <w:rsid w:val="00CD148B"/>
    <w:rsid w:val="00CD25EE"/>
    <w:rsid w:val="00CD2BEC"/>
    <w:rsid w:val="00D001A9"/>
    <w:rsid w:val="00D21777"/>
    <w:rsid w:val="00D2453A"/>
    <w:rsid w:val="00D370A7"/>
    <w:rsid w:val="00D451A4"/>
    <w:rsid w:val="00D515E7"/>
    <w:rsid w:val="00D73A38"/>
    <w:rsid w:val="00DA3B19"/>
    <w:rsid w:val="00DB7CFB"/>
    <w:rsid w:val="00DC70AB"/>
    <w:rsid w:val="00DE39D7"/>
    <w:rsid w:val="00DE7DBD"/>
    <w:rsid w:val="00DF4037"/>
    <w:rsid w:val="00DF4BCE"/>
    <w:rsid w:val="00E11C0D"/>
    <w:rsid w:val="00E1347C"/>
    <w:rsid w:val="00E25016"/>
    <w:rsid w:val="00E31FA7"/>
    <w:rsid w:val="00E32A0C"/>
    <w:rsid w:val="00E34BA1"/>
    <w:rsid w:val="00E54B29"/>
    <w:rsid w:val="00EB0EE6"/>
    <w:rsid w:val="00EC669A"/>
    <w:rsid w:val="00ED21B1"/>
    <w:rsid w:val="00ED4254"/>
    <w:rsid w:val="00EE2784"/>
    <w:rsid w:val="00EE4AF0"/>
    <w:rsid w:val="00F16269"/>
    <w:rsid w:val="00F234B2"/>
    <w:rsid w:val="00F26A0F"/>
    <w:rsid w:val="00F418F4"/>
    <w:rsid w:val="00F41E5F"/>
    <w:rsid w:val="00F42BAC"/>
    <w:rsid w:val="00F5086B"/>
    <w:rsid w:val="00F87C1F"/>
    <w:rsid w:val="00FA0700"/>
    <w:rsid w:val="00FD4A2C"/>
    <w:rsid w:val="00FE2E74"/>
    <w:rsid w:val="00FE3C66"/>
    <w:rsid w:val="00FE4CAC"/>
    <w:rsid w:val="00FF2D6D"/>
    <w:rsid w:val="522701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uiPriority w:val="99"/>
    <w:pPr>
      <w:jc w:val="left"/>
    </w:pPr>
  </w:style>
  <w:style w:type="paragraph" w:styleId="3">
    <w:name w:val="endnote text"/>
    <w:basedOn w:val="1"/>
    <w:link w:val="15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uiPriority w:val="99"/>
    <w:pPr>
      <w:snapToGrid w:val="0"/>
      <w:jc w:val="left"/>
    </w:pPr>
    <w:rPr>
      <w:rFonts w:ascii="Times New Roman" w:hAnsi="Times New Roman" w:eastAsia="PMingLiU"/>
      <w:sz w:val="20"/>
      <w:szCs w:val="20"/>
      <w:lang w:eastAsia="zh-TW"/>
    </w:rPr>
  </w:style>
  <w:style w:type="paragraph" w:styleId="8">
    <w:name w:val="annotation subject"/>
    <w:basedOn w:val="2"/>
    <w:next w:val="2"/>
    <w:link w:val="23"/>
    <w:semiHidden/>
    <w:unhideWhenUsed/>
    <w:uiPriority w:val="99"/>
    <w:rPr>
      <w:b/>
      <w:bCs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semiHidden/>
    <w:unhideWhenUsed/>
    <w:uiPriority w:val="99"/>
    <w:rPr>
      <w:vertAlign w:val="superscript"/>
    </w:rPr>
  </w:style>
  <w:style w:type="character" w:styleId="13">
    <w:name w:val="annotation reference"/>
    <w:basedOn w:val="11"/>
    <w:unhideWhenUsed/>
    <w:uiPriority w:val="0"/>
    <w:rPr>
      <w:sz w:val="21"/>
      <w:szCs w:val="21"/>
    </w:rPr>
  </w:style>
  <w:style w:type="character" w:styleId="14">
    <w:name w:val="footnote reference"/>
    <w:semiHidden/>
    <w:unhideWhenUsed/>
    <w:uiPriority w:val="99"/>
    <w:rPr>
      <w:vertAlign w:val="superscript"/>
    </w:rPr>
  </w:style>
  <w:style w:type="character" w:customStyle="1" w:styleId="15">
    <w:name w:val="尾注文本 Char"/>
    <w:basedOn w:val="11"/>
    <w:link w:val="3"/>
    <w:semiHidden/>
    <w:qFormat/>
    <w:uiPriority w:val="99"/>
  </w:style>
  <w:style w:type="character" w:customStyle="1" w:styleId="16">
    <w:name w:val="页眉 Char"/>
    <w:link w:val="6"/>
    <w:uiPriority w:val="99"/>
    <w:rPr>
      <w:sz w:val="18"/>
      <w:szCs w:val="18"/>
    </w:rPr>
  </w:style>
  <w:style w:type="character" w:customStyle="1" w:styleId="17">
    <w:name w:val="页脚 Char"/>
    <w:link w:val="5"/>
    <w:uiPriority w:val="99"/>
    <w:rPr>
      <w:sz w:val="18"/>
      <w:szCs w:val="18"/>
    </w:rPr>
  </w:style>
  <w:style w:type="character" w:customStyle="1" w:styleId="18">
    <w:name w:val="批注框文本 Char"/>
    <w:link w:val="4"/>
    <w:semiHidden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脚注文本 Char"/>
    <w:link w:val="7"/>
    <w:semiHidden/>
    <w:uiPriority w:val="99"/>
    <w:rPr>
      <w:rFonts w:ascii="Times New Roman" w:hAnsi="Times New Roman" w:eastAsia="PMingLiU"/>
      <w:kern w:val="2"/>
      <w:lang w:eastAsia="zh-TW"/>
    </w:rPr>
  </w:style>
  <w:style w:type="character" w:customStyle="1" w:styleId="22">
    <w:name w:val="批注文字 Char"/>
    <w:basedOn w:val="11"/>
    <w:link w:val="2"/>
    <w:semiHidden/>
    <w:uiPriority w:val="99"/>
    <w:rPr>
      <w:kern w:val="2"/>
      <w:sz w:val="21"/>
      <w:szCs w:val="22"/>
    </w:rPr>
  </w:style>
  <w:style w:type="character" w:customStyle="1" w:styleId="23">
    <w:name w:val="批注主题 Char"/>
    <w:basedOn w:val="22"/>
    <w:link w:val="8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F33AAE-4A17-40AC-9375-FFB37F02B8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新日鐵住金株式会社</Company>
  <Pages>2</Pages>
  <Words>185</Words>
  <Characters>1057</Characters>
  <Lines>8</Lines>
  <Paragraphs>2</Paragraphs>
  <TotalTime>84</TotalTime>
  <ScaleCrop>false</ScaleCrop>
  <LinksUpToDate>false</LinksUpToDate>
  <CharactersWithSpaces>1240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2021-05-07T01:42:00Z</dcterms:created>
  <dc:creator>dell</dc:creator>
  <cp:lastModifiedBy>杨钧翰</cp:lastModifiedBy>
  <cp:lastPrinted>2021-12-07T02:50:53Z</cp:lastPrinted>
  <dcterms:modified xsi:type="dcterms:W3CDTF">2021-12-07T02:53:21Z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