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4C1D" w14:textId="67EB09D0" w:rsidR="00D92E0B" w:rsidRDefault="00D92E0B" w:rsidP="00E25C99">
      <w:pPr>
        <w:snapToGrid w:val="0"/>
        <w:spacing w:after="0" w:line="360" w:lineRule="auto"/>
        <w:jc w:val="center"/>
        <w:rPr>
          <w:b/>
          <w:sz w:val="21"/>
          <w:szCs w:val="21"/>
        </w:rPr>
      </w:pPr>
      <w:r w:rsidRPr="00FA4D62">
        <w:rPr>
          <w:b/>
          <w:sz w:val="21"/>
          <w:szCs w:val="21"/>
        </w:rPr>
        <w:t>经营者集中简易案件公示表</w:t>
      </w:r>
    </w:p>
    <w:p w14:paraId="3EE44E26" w14:textId="77777777" w:rsidR="00302B9D" w:rsidRDefault="00302B9D" w:rsidP="00E25C99">
      <w:pPr>
        <w:snapToGrid w:val="0"/>
        <w:spacing w:after="0" w:line="360" w:lineRule="auto"/>
        <w:jc w:val="center"/>
        <w:rPr>
          <w:rFonts w:hint="eastAsia"/>
          <w:b/>
          <w:sz w:val="21"/>
          <w:szCs w:val="2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741"/>
        <w:gridCol w:w="5528"/>
      </w:tblGrid>
      <w:tr w:rsidR="00D92E0B" w:rsidRPr="00FA4D62" w14:paraId="3AE4C0DB" w14:textId="77777777" w:rsidTr="002E461C">
        <w:trPr>
          <w:trHeight w:val="567"/>
          <w:jc w:val="center"/>
        </w:trPr>
        <w:tc>
          <w:tcPr>
            <w:tcW w:w="1940" w:type="dxa"/>
            <w:shd w:val="clear" w:color="auto" w:fill="D9D9D9"/>
            <w:vAlign w:val="center"/>
          </w:tcPr>
          <w:p w14:paraId="2A67A637" w14:textId="77777777" w:rsidR="00D92E0B" w:rsidRPr="002E461C" w:rsidRDefault="00D92E0B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2E461C">
              <w:rPr>
                <w:rFonts w:cs="Times New Roman"/>
                <w:b/>
                <w:bCs/>
                <w:sz w:val="21"/>
                <w:szCs w:val="21"/>
                <w:lang w:val="en-GB"/>
              </w:rPr>
              <w:t>案件名称</w:t>
            </w:r>
            <w:proofErr w:type="spellEnd"/>
          </w:p>
        </w:tc>
        <w:tc>
          <w:tcPr>
            <w:tcW w:w="7269" w:type="dxa"/>
            <w:gridSpan w:val="2"/>
            <w:shd w:val="clear" w:color="auto" w:fill="auto"/>
            <w:vAlign w:val="center"/>
          </w:tcPr>
          <w:p w14:paraId="65604FDD" w14:textId="4947C3E4" w:rsidR="00D92E0B" w:rsidRPr="00FA4D62" w:rsidRDefault="00A37D75" w:rsidP="00E25C99"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A37D75">
              <w:rPr>
                <w:rFonts w:asciiTheme="majorBidi" w:hAnsiTheme="majorBidi" w:cstheme="majorBidi" w:hint="eastAsia"/>
                <w:sz w:val="21"/>
                <w:szCs w:val="21"/>
              </w:rPr>
              <w:t>华润水泥投资有限公司收购湖南良田水泥有限公司股权案</w:t>
            </w:r>
          </w:p>
        </w:tc>
      </w:tr>
      <w:tr w:rsidR="00D92E0B" w:rsidRPr="00FA4D62" w14:paraId="6A286E1A" w14:textId="77777777" w:rsidTr="002E461C">
        <w:trPr>
          <w:trHeight w:val="993"/>
          <w:jc w:val="center"/>
        </w:trPr>
        <w:tc>
          <w:tcPr>
            <w:tcW w:w="1940" w:type="dxa"/>
            <w:shd w:val="clear" w:color="auto" w:fill="D9D9D9"/>
            <w:vAlign w:val="center"/>
          </w:tcPr>
          <w:p w14:paraId="74C756CA" w14:textId="77777777" w:rsidR="00D92E0B" w:rsidRPr="002E461C" w:rsidRDefault="00D92E0B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  <w:r w:rsidRPr="002E461C">
              <w:rPr>
                <w:rFonts w:cs="Times New Roman"/>
                <w:b/>
                <w:bCs/>
                <w:sz w:val="21"/>
                <w:szCs w:val="21"/>
                <w:lang w:val="en-GB" w:eastAsia="zh-CN"/>
              </w:rPr>
              <w:t>交易概况（限</w:t>
            </w:r>
            <w:r w:rsidRPr="002E461C">
              <w:rPr>
                <w:rFonts w:cs="Times New Roman"/>
                <w:b/>
                <w:bCs/>
                <w:sz w:val="21"/>
                <w:szCs w:val="21"/>
                <w:lang w:val="en-GB" w:eastAsia="zh-CN"/>
              </w:rPr>
              <w:t>200</w:t>
            </w:r>
            <w:r w:rsidRPr="002E461C">
              <w:rPr>
                <w:rFonts w:cs="Times New Roman"/>
                <w:b/>
                <w:bCs/>
                <w:sz w:val="21"/>
                <w:szCs w:val="21"/>
                <w:lang w:val="en-GB" w:eastAsia="zh-CN"/>
              </w:rPr>
              <w:t>字内）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1E597D4B" w14:textId="6A0F024D" w:rsidR="00D62EC6" w:rsidRPr="00FA4D62" w:rsidRDefault="00223AB1" w:rsidP="00E25C99"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eastAsiaTheme="minorEastAsia"/>
                <w:sz w:val="21"/>
                <w:szCs w:val="21"/>
              </w:rPr>
            </w:pPr>
            <w:r w:rsidRPr="00AD5A43">
              <w:rPr>
                <w:rFonts w:eastAsiaTheme="minorEastAsia" w:hint="eastAsia"/>
                <w:sz w:val="21"/>
                <w:szCs w:val="21"/>
              </w:rPr>
              <w:t>本次交易为</w:t>
            </w:r>
            <w:r w:rsidR="00A37D75" w:rsidRPr="00A37D75">
              <w:rPr>
                <w:rFonts w:eastAsiaTheme="minorEastAsia" w:hint="eastAsia"/>
                <w:sz w:val="21"/>
                <w:szCs w:val="21"/>
              </w:rPr>
              <w:t>华润水泥投资有限公司</w:t>
            </w:r>
            <w:r>
              <w:rPr>
                <w:rFonts w:eastAsiaTheme="minorEastAsia" w:hint="eastAsia"/>
                <w:sz w:val="21"/>
                <w:szCs w:val="21"/>
              </w:rPr>
              <w:t>（“</w:t>
            </w:r>
            <w:r w:rsidR="00A37D75">
              <w:rPr>
                <w:rFonts w:eastAsiaTheme="minorEastAsia" w:hint="eastAsia"/>
                <w:sz w:val="21"/>
                <w:szCs w:val="21"/>
              </w:rPr>
              <w:t>华润水泥</w:t>
            </w:r>
            <w:r>
              <w:rPr>
                <w:rFonts w:eastAsiaTheme="minorEastAsia" w:hint="eastAsia"/>
                <w:sz w:val="21"/>
                <w:szCs w:val="21"/>
              </w:rPr>
              <w:t>”）</w:t>
            </w:r>
            <w:r w:rsidRPr="00AD5A43">
              <w:rPr>
                <w:rFonts w:eastAsiaTheme="minorEastAsia" w:hint="eastAsia"/>
                <w:sz w:val="21"/>
                <w:szCs w:val="21"/>
              </w:rPr>
              <w:t>拟</w:t>
            </w:r>
            <w:r w:rsidR="00A37D75">
              <w:rPr>
                <w:rFonts w:eastAsiaTheme="minorEastAsia" w:hint="eastAsia"/>
                <w:sz w:val="21"/>
                <w:szCs w:val="21"/>
              </w:rPr>
              <w:t>收购</w:t>
            </w:r>
            <w:r w:rsidR="00AB4344" w:rsidRPr="00AB4344">
              <w:rPr>
                <w:rFonts w:eastAsiaTheme="minorEastAsia" w:hint="eastAsia"/>
                <w:sz w:val="21"/>
                <w:szCs w:val="21"/>
              </w:rPr>
              <w:t>湖南鼎天经贸集团有限公司</w:t>
            </w:r>
            <w:r w:rsidR="00AB4344">
              <w:rPr>
                <w:rFonts w:eastAsiaTheme="minorEastAsia" w:hint="eastAsia"/>
                <w:sz w:val="21"/>
                <w:szCs w:val="21"/>
              </w:rPr>
              <w:t>（“鼎天经贸”）以及六名自然人股东</w:t>
            </w:r>
            <w:r>
              <w:rPr>
                <w:rFonts w:eastAsiaTheme="minorEastAsia" w:hint="eastAsia"/>
                <w:sz w:val="21"/>
                <w:szCs w:val="21"/>
              </w:rPr>
              <w:t>持有的</w:t>
            </w:r>
            <w:r w:rsidR="00AB4344" w:rsidRPr="00A37D75">
              <w:rPr>
                <w:rFonts w:asciiTheme="majorBidi" w:hAnsiTheme="majorBidi" w:cstheme="majorBidi" w:hint="eastAsia"/>
                <w:sz w:val="21"/>
                <w:szCs w:val="21"/>
              </w:rPr>
              <w:t>湖南良田水泥有限公司</w:t>
            </w:r>
            <w:r>
              <w:rPr>
                <w:rFonts w:eastAsiaTheme="minorEastAsia" w:hint="eastAsia"/>
                <w:sz w:val="21"/>
                <w:szCs w:val="21"/>
              </w:rPr>
              <w:t>（“</w:t>
            </w:r>
            <w:r w:rsidR="00AB4344">
              <w:rPr>
                <w:rFonts w:eastAsiaTheme="minorEastAsia" w:hint="eastAsia"/>
                <w:sz w:val="21"/>
                <w:szCs w:val="21"/>
              </w:rPr>
              <w:t>目标公司</w:t>
            </w:r>
            <w:r>
              <w:rPr>
                <w:rFonts w:eastAsiaTheme="minorEastAsia" w:hint="eastAsia"/>
                <w:sz w:val="21"/>
                <w:szCs w:val="21"/>
              </w:rPr>
              <w:t>”）</w:t>
            </w:r>
            <w:r w:rsidR="00285045">
              <w:rPr>
                <w:rFonts w:eastAsiaTheme="minorEastAsia" w:hint="eastAsia"/>
                <w:sz w:val="21"/>
                <w:szCs w:val="21"/>
              </w:rPr>
              <w:t>共计</w:t>
            </w:r>
            <w:r w:rsidR="00285045">
              <w:rPr>
                <w:rFonts w:eastAsiaTheme="minorEastAsia" w:hint="eastAsia"/>
                <w:sz w:val="21"/>
                <w:szCs w:val="21"/>
              </w:rPr>
              <w:t>5</w:t>
            </w:r>
            <w:r w:rsidR="00285045">
              <w:rPr>
                <w:rFonts w:eastAsiaTheme="minorEastAsia"/>
                <w:sz w:val="21"/>
                <w:szCs w:val="21"/>
              </w:rPr>
              <w:t>1</w:t>
            </w:r>
            <w:r w:rsidR="00285045">
              <w:rPr>
                <w:rFonts w:eastAsiaTheme="minorEastAsia" w:hint="eastAsia"/>
                <w:sz w:val="21"/>
                <w:szCs w:val="21"/>
              </w:rPr>
              <w:t>%</w:t>
            </w:r>
            <w:r w:rsidR="00AB4344">
              <w:rPr>
                <w:rFonts w:eastAsiaTheme="minorEastAsia" w:hint="eastAsia"/>
                <w:sz w:val="21"/>
                <w:szCs w:val="21"/>
              </w:rPr>
              <w:t>股权</w:t>
            </w:r>
            <w:r w:rsidRPr="00AD5A43">
              <w:rPr>
                <w:rFonts w:eastAsiaTheme="minorEastAsia" w:hint="eastAsia"/>
                <w:sz w:val="21"/>
                <w:szCs w:val="21"/>
              </w:rPr>
              <w:t>。</w:t>
            </w:r>
            <w:r>
              <w:rPr>
                <w:rFonts w:eastAsiaTheme="minorEastAsia" w:hint="eastAsia"/>
                <w:sz w:val="21"/>
                <w:szCs w:val="21"/>
              </w:rPr>
              <w:t>交易完成后，</w:t>
            </w:r>
            <w:r w:rsidR="00475426">
              <w:rPr>
                <w:rFonts w:eastAsiaTheme="minorEastAsia" w:hint="eastAsia"/>
                <w:sz w:val="21"/>
                <w:szCs w:val="21"/>
              </w:rPr>
              <w:t>目标公司将由华润水泥单独控制</w:t>
            </w:r>
            <w:r>
              <w:rPr>
                <w:rFonts w:eastAsiaTheme="minorEastAsia" w:hint="eastAsia"/>
                <w:sz w:val="21"/>
                <w:szCs w:val="21"/>
              </w:rPr>
              <w:t>。</w:t>
            </w:r>
          </w:p>
        </w:tc>
      </w:tr>
      <w:tr w:rsidR="00E25C99" w:rsidRPr="00FA4D62" w14:paraId="27FFF7D4" w14:textId="77777777" w:rsidTr="00ED1E91">
        <w:trPr>
          <w:trHeight w:val="623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2C14BCB4" w14:textId="77777777" w:rsidR="00E25C99" w:rsidRPr="002E461C" w:rsidRDefault="00E25C99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  <w:r w:rsidRPr="002E461C">
              <w:rPr>
                <w:rFonts w:cs="Times New Roman"/>
                <w:b/>
                <w:bCs/>
                <w:sz w:val="21"/>
                <w:szCs w:val="21"/>
                <w:lang w:val="en-GB" w:eastAsia="zh-CN"/>
              </w:rPr>
              <w:t>参与集中的经营者简介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2981664" w14:textId="1B2072E7" w:rsidR="00E25C99" w:rsidRPr="002955B1" w:rsidRDefault="00475426" w:rsidP="00E25C99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contextualSpacing w:val="0"/>
              <w:jc w:val="both"/>
              <w:rPr>
                <w:rFonts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华润水泥</w:t>
            </w:r>
          </w:p>
        </w:tc>
        <w:tc>
          <w:tcPr>
            <w:tcW w:w="5528" w:type="dxa"/>
            <w:shd w:val="clear" w:color="auto" w:fill="auto"/>
          </w:tcPr>
          <w:p w14:paraId="7DE3D219" w14:textId="5CD8308B" w:rsidR="00E25C99" w:rsidRPr="00E25C99" w:rsidRDefault="00D72CDE" w:rsidP="00BB36AD"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eastAsiaTheme="minorEastAsia"/>
                <w:sz w:val="21"/>
                <w:szCs w:val="21"/>
              </w:rPr>
            </w:pPr>
            <w:r w:rsidRPr="00D72CDE">
              <w:rPr>
                <w:rFonts w:eastAsiaTheme="minorEastAsia" w:hint="eastAsia"/>
                <w:sz w:val="21"/>
                <w:szCs w:val="21"/>
              </w:rPr>
              <w:t>华润水泥</w:t>
            </w:r>
            <w:r w:rsidR="00012632">
              <w:rPr>
                <w:rFonts w:eastAsiaTheme="minorEastAsia" w:hint="eastAsia"/>
                <w:sz w:val="21"/>
                <w:szCs w:val="21"/>
              </w:rPr>
              <w:t>于</w:t>
            </w:r>
            <w:r w:rsidR="00012632" w:rsidRPr="00D56007">
              <w:rPr>
                <w:rFonts w:eastAsiaTheme="minorEastAsia" w:hint="eastAsia"/>
                <w:sz w:val="21"/>
                <w:szCs w:val="21"/>
              </w:rPr>
              <w:t>2004</w:t>
            </w:r>
            <w:r w:rsidR="00012632" w:rsidRPr="00D56007">
              <w:rPr>
                <w:rFonts w:eastAsiaTheme="minorEastAsia" w:hint="eastAsia"/>
                <w:sz w:val="21"/>
                <w:szCs w:val="21"/>
              </w:rPr>
              <w:t>年</w:t>
            </w:r>
            <w:r w:rsidR="00012632" w:rsidRPr="00D56007">
              <w:rPr>
                <w:rFonts w:eastAsiaTheme="minorEastAsia" w:hint="eastAsia"/>
                <w:sz w:val="21"/>
                <w:szCs w:val="21"/>
              </w:rPr>
              <w:t>7</w:t>
            </w:r>
            <w:r w:rsidR="00012632" w:rsidRPr="00D56007">
              <w:rPr>
                <w:rFonts w:eastAsiaTheme="minorEastAsia" w:hint="eastAsia"/>
                <w:sz w:val="21"/>
                <w:szCs w:val="21"/>
              </w:rPr>
              <w:t>月</w:t>
            </w:r>
            <w:r w:rsidR="00012632">
              <w:rPr>
                <w:rFonts w:eastAsiaTheme="minorEastAsia" w:hint="eastAsia"/>
                <w:sz w:val="21"/>
                <w:szCs w:val="21"/>
              </w:rPr>
              <w:t>在广东省深圳市注册成立，系</w:t>
            </w:r>
            <w:r w:rsidRPr="00D72CDE">
              <w:rPr>
                <w:rFonts w:eastAsiaTheme="minorEastAsia" w:hint="eastAsia"/>
                <w:sz w:val="21"/>
                <w:szCs w:val="21"/>
              </w:rPr>
              <w:t>华润水泥控股有限公司（“华润水泥控股”，香港联合交易所上市公司）全资子公司，为华润水泥控股在中国大陆境内进行水泥项目投资的专门平台。</w:t>
            </w:r>
          </w:p>
        </w:tc>
      </w:tr>
      <w:tr w:rsidR="00E25C99" w:rsidRPr="00FA4D62" w14:paraId="6D02F31F" w14:textId="77777777" w:rsidTr="00ED1E91">
        <w:trPr>
          <w:trHeight w:val="675"/>
          <w:jc w:val="center"/>
        </w:trPr>
        <w:tc>
          <w:tcPr>
            <w:tcW w:w="1940" w:type="dxa"/>
            <w:vMerge/>
            <w:shd w:val="clear" w:color="auto" w:fill="D9D9D9"/>
            <w:vAlign w:val="center"/>
          </w:tcPr>
          <w:p w14:paraId="21D3457A" w14:textId="77777777" w:rsidR="00E25C99" w:rsidRPr="002E461C" w:rsidRDefault="00E25C99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11D1B68" w14:textId="4C588502" w:rsidR="00E25C99" w:rsidRPr="002955B1" w:rsidRDefault="00D72CDE" w:rsidP="00E25C99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contextualSpacing w:val="0"/>
              <w:jc w:val="both"/>
              <w:rPr>
                <w:rFonts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目标公司</w:t>
            </w:r>
          </w:p>
        </w:tc>
        <w:tc>
          <w:tcPr>
            <w:tcW w:w="5528" w:type="dxa"/>
            <w:shd w:val="clear" w:color="auto" w:fill="auto"/>
          </w:tcPr>
          <w:p w14:paraId="6FECDDB9" w14:textId="12E964FB" w:rsidR="00E25C99" w:rsidRPr="00FA4D62" w:rsidRDefault="00D72CDE" w:rsidP="00D72CDE"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sz w:val="21"/>
                <w:szCs w:val="21"/>
              </w:rPr>
            </w:pPr>
            <w:r w:rsidRPr="00D72CDE">
              <w:rPr>
                <w:rFonts w:hint="eastAsia"/>
                <w:sz w:val="21"/>
                <w:szCs w:val="21"/>
              </w:rPr>
              <w:t>目标公司</w:t>
            </w:r>
            <w:r w:rsidR="00012632">
              <w:rPr>
                <w:rFonts w:hint="eastAsia"/>
                <w:sz w:val="21"/>
                <w:szCs w:val="21"/>
              </w:rPr>
              <w:t>于</w:t>
            </w:r>
            <w:r w:rsidR="00012632">
              <w:rPr>
                <w:rFonts w:hint="eastAsia"/>
                <w:sz w:val="21"/>
                <w:szCs w:val="21"/>
              </w:rPr>
              <w:t>2</w:t>
            </w:r>
            <w:r w:rsidR="00012632">
              <w:rPr>
                <w:sz w:val="21"/>
                <w:szCs w:val="21"/>
              </w:rPr>
              <w:t>004</w:t>
            </w:r>
            <w:r w:rsidR="00012632">
              <w:rPr>
                <w:rFonts w:hint="eastAsia"/>
                <w:sz w:val="21"/>
                <w:szCs w:val="21"/>
              </w:rPr>
              <w:t>年</w:t>
            </w:r>
            <w:r w:rsidR="00012632">
              <w:rPr>
                <w:rFonts w:hint="eastAsia"/>
                <w:sz w:val="21"/>
                <w:szCs w:val="21"/>
              </w:rPr>
              <w:t>3</w:t>
            </w:r>
            <w:r w:rsidR="00012632">
              <w:rPr>
                <w:rFonts w:hint="eastAsia"/>
                <w:sz w:val="21"/>
                <w:szCs w:val="21"/>
              </w:rPr>
              <w:t>月在</w:t>
            </w:r>
            <w:r w:rsidR="00FB019E">
              <w:rPr>
                <w:rFonts w:hint="eastAsia"/>
                <w:sz w:val="21"/>
                <w:szCs w:val="21"/>
              </w:rPr>
              <w:t>湖南省郴州市</w:t>
            </w:r>
            <w:r w:rsidR="00012632">
              <w:rPr>
                <w:rFonts w:hint="eastAsia"/>
                <w:sz w:val="21"/>
                <w:szCs w:val="21"/>
              </w:rPr>
              <w:t>注册成立</w:t>
            </w:r>
            <w:r w:rsidR="00F55A38">
              <w:rPr>
                <w:rFonts w:hint="eastAsia"/>
                <w:sz w:val="21"/>
                <w:szCs w:val="21"/>
              </w:rPr>
              <w:t>，</w:t>
            </w:r>
            <w:r w:rsidR="003B0588">
              <w:rPr>
                <w:rFonts w:hint="eastAsia"/>
                <w:sz w:val="21"/>
                <w:szCs w:val="21"/>
              </w:rPr>
              <w:t>从事通用水泥和水泥熟料的生产和销售业务</w:t>
            </w:r>
            <w:r w:rsidR="00F55A38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E25C99" w:rsidRPr="00FA4D62" w14:paraId="0722B00D" w14:textId="77777777" w:rsidTr="002E461C">
        <w:trPr>
          <w:trHeight w:val="279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2535E247" w14:textId="40F0A0B7" w:rsidR="00E25C99" w:rsidRPr="002E461C" w:rsidRDefault="00E25C99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  <w:r w:rsidRPr="002E461C">
              <w:rPr>
                <w:rFonts w:cs="Times New Roman"/>
                <w:b/>
                <w:bCs/>
                <w:sz w:val="21"/>
                <w:szCs w:val="21"/>
                <w:lang w:val="en-GB" w:eastAsia="zh-CN"/>
              </w:rPr>
              <w:t>简易案件理由（可以单选，也可以多选）</w:t>
            </w:r>
          </w:p>
        </w:tc>
        <w:tc>
          <w:tcPr>
            <w:tcW w:w="7269" w:type="dxa"/>
            <w:gridSpan w:val="2"/>
            <w:shd w:val="clear" w:color="auto" w:fill="auto"/>
          </w:tcPr>
          <w:p w14:paraId="1F367491" w14:textId="536D9E16" w:rsidR="00E25C99" w:rsidRPr="00FA4D62" w:rsidRDefault="00E25C99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sz w:val="21"/>
                <w:szCs w:val="21"/>
                <w:lang w:val="en-US" w:eastAsia="zh-CN"/>
              </w:rPr>
            </w:pPr>
            <w:r w:rsidRPr="00FA4D62">
              <w:rPr>
                <w:rFonts w:ascii="Wingdings" w:hAnsi="Wingdings"/>
                <w:sz w:val="21"/>
                <w:szCs w:val="21"/>
                <w:lang w:eastAsia="zh-CN"/>
              </w:rPr>
              <w:sym w:font="Wingdings" w:char="F06F"/>
            </w:r>
            <w:r w:rsidRPr="00FA4D62">
              <w:rPr>
                <w:rFonts w:cs="Times New Roman"/>
                <w:sz w:val="21"/>
                <w:szCs w:val="21"/>
                <w:lang w:val="en-GB" w:eastAsia="zh-CN"/>
              </w:rPr>
              <w:t xml:space="preserve"> 1</w:t>
            </w:r>
            <w:r w:rsidRPr="00FA4D62">
              <w:rPr>
                <w:rFonts w:cs="Times New Roman"/>
                <w:sz w:val="21"/>
                <w:szCs w:val="21"/>
                <w:lang w:val="en-GB" w:eastAsia="zh-CN"/>
              </w:rPr>
              <w:t>、在同一相关市场，所有参与集中的经营者所占市场份额之和小于</w:t>
            </w:r>
            <w:r w:rsidRPr="00FA4D62">
              <w:rPr>
                <w:rFonts w:cs="Times New Roman"/>
                <w:sz w:val="21"/>
                <w:szCs w:val="21"/>
                <w:lang w:val="en-GB" w:eastAsia="zh-CN"/>
              </w:rPr>
              <w:t>15%</w:t>
            </w:r>
            <w:r w:rsidRPr="00FA4D62">
              <w:rPr>
                <w:rFonts w:cs="Times New Roman"/>
                <w:sz w:val="21"/>
                <w:szCs w:val="21"/>
                <w:lang w:val="en-GB" w:eastAsia="zh-CN"/>
              </w:rPr>
              <w:t>。</w:t>
            </w:r>
          </w:p>
        </w:tc>
      </w:tr>
      <w:tr w:rsidR="00E25C99" w:rsidRPr="00FA4D62" w14:paraId="6A1E8F43" w14:textId="77777777" w:rsidTr="002E461C">
        <w:trPr>
          <w:trHeight w:val="330"/>
          <w:jc w:val="center"/>
        </w:trPr>
        <w:tc>
          <w:tcPr>
            <w:tcW w:w="1940" w:type="dxa"/>
            <w:vMerge/>
            <w:shd w:val="clear" w:color="auto" w:fill="D9D9D9"/>
            <w:vAlign w:val="center"/>
          </w:tcPr>
          <w:p w14:paraId="58C8A03D" w14:textId="77777777" w:rsidR="00E25C99" w:rsidRPr="002E461C" w:rsidRDefault="00E25C99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14:paraId="23B822DF" w14:textId="03A6933F" w:rsidR="00E25C99" w:rsidRPr="00FA4D62" w:rsidRDefault="001F7C85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sz w:val="21"/>
                <w:szCs w:val="21"/>
                <w:lang w:val="en-US" w:eastAsia="zh-CN"/>
              </w:rPr>
            </w:pPr>
            <w:r w:rsidRPr="00FA4D62">
              <w:rPr>
                <w:rFonts w:ascii="Wingdings" w:hAnsi="Wingdings"/>
                <w:sz w:val="21"/>
                <w:szCs w:val="21"/>
                <w:lang w:eastAsia="zh-CN"/>
              </w:rPr>
              <w:sym w:font="Wingdings" w:char="F06F"/>
            </w:r>
            <w:r w:rsidR="00E25C99" w:rsidRPr="00FA4D62">
              <w:rPr>
                <w:rFonts w:cs="Times New Roman" w:hint="eastAsia"/>
                <w:sz w:val="21"/>
                <w:szCs w:val="21"/>
                <w:lang w:val="en-GB" w:eastAsia="zh-CN"/>
              </w:rPr>
              <w:t xml:space="preserve"> </w:t>
            </w:r>
            <w:r w:rsidR="00E25C99" w:rsidRPr="00FA4D62">
              <w:rPr>
                <w:rFonts w:cs="Times New Roman"/>
                <w:sz w:val="21"/>
                <w:szCs w:val="21"/>
                <w:lang w:val="en-GB" w:eastAsia="zh-CN"/>
              </w:rPr>
              <w:t>2</w:t>
            </w:r>
            <w:r w:rsidR="00E25C99" w:rsidRPr="00FA4D62">
              <w:rPr>
                <w:rFonts w:cs="Times New Roman"/>
                <w:sz w:val="21"/>
                <w:szCs w:val="21"/>
                <w:lang w:val="en-GB" w:eastAsia="zh-CN"/>
              </w:rPr>
              <w:t>、存在上下游关系的参与集中的经营者，在上下游市场所占的市场份额均小于</w:t>
            </w:r>
            <w:r w:rsidR="00E25C99" w:rsidRPr="00FA4D62">
              <w:rPr>
                <w:rFonts w:cs="Times New Roman"/>
                <w:sz w:val="21"/>
                <w:szCs w:val="21"/>
                <w:lang w:val="en-GB" w:eastAsia="zh-CN"/>
              </w:rPr>
              <w:t>25%</w:t>
            </w:r>
            <w:r w:rsidR="00E25C99" w:rsidRPr="00FA4D62">
              <w:rPr>
                <w:rFonts w:cs="Times New Roman"/>
                <w:sz w:val="21"/>
                <w:szCs w:val="21"/>
                <w:lang w:val="en-GB" w:eastAsia="zh-CN"/>
              </w:rPr>
              <w:t>。</w:t>
            </w:r>
          </w:p>
        </w:tc>
      </w:tr>
      <w:tr w:rsidR="00E25C99" w:rsidRPr="00FA4D62" w14:paraId="4C8D7BAF" w14:textId="77777777" w:rsidTr="002E461C">
        <w:trPr>
          <w:trHeight w:val="285"/>
          <w:jc w:val="center"/>
        </w:trPr>
        <w:tc>
          <w:tcPr>
            <w:tcW w:w="1940" w:type="dxa"/>
            <w:vMerge/>
            <w:shd w:val="clear" w:color="auto" w:fill="D9D9D9"/>
            <w:vAlign w:val="center"/>
          </w:tcPr>
          <w:p w14:paraId="316AFDC5" w14:textId="77777777" w:rsidR="00E25C99" w:rsidRPr="002E461C" w:rsidRDefault="00E25C99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14:paraId="70962EC7" w14:textId="243ACF94" w:rsidR="00E25C99" w:rsidRPr="00FA4D62" w:rsidRDefault="001F7C85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sz w:val="21"/>
                <w:szCs w:val="21"/>
                <w:lang w:val="en-US" w:eastAsia="zh-CN"/>
              </w:rPr>
            </w:pPr>
            <w:r w:rsidRPr="00223AB1">
              <w:rPr>
                <w:rFonts w:ascii="Wingdings" w:hAnsi="Wingdings"/>
                <w:sz w:val="21"/>
                <w:szCs w:val="21"/>
                <w:lang w:eastAsia="zh-CN"/>
              </w:rPr>
              <w:t></w:t>
            </w:r>
            <w:r w:rsidR="00E25C99" w:rsidRPr="00FA4D62">
              <w:rPr>
                <w:rFonts w:cs="Times New Roman"/>
                <w:sz w:val="21"/>
                <w:szCs w:val="21"/>
                <w:lang w:val="en-GB" w:eastAsia="zh-CN"/>
              </w:rPr>
              <w:t>3</w:t>
            </w:r>
            <w:r w:rsidR="00E25C99" w:rsidRPr="00FA4D62">
              <w:rPr>
                <w:rFonts w:cs="Times New Roman"/>
                <w:sz w:val="21"/>
                <w:szCs w:val="21"/>
                <w:lang w:val="en-GB" w:eastAsia="zh-CN"/>
              </w:rPr>
              <w:t>、不在同一相关市场、也不存在上下游关系的参与集中的经营者，在与交易有关的每个市场所占的份额均小于</w:t>
            </w:r>
            <w:r w:rsidR="00E25C99" w:rsidRPr="00FA4D62">
              <w:rPr>
                <w:rFonts w:cs="Times New Roman"/>
                <w:sz w:val="21"/>
                <w:szCs w:val="21"/>
                <w:lang w:val="en-GB" w:eastAsia="zh-CN"/>
              </w:rPr>
              <w:t>25%</w:t>
            </w:r>
            <w:r w:rsidR="00E25C99" w:rsidRPr="00FA4D62">
              <w:rPr>
                <w:rFonts w:cs="Times New Roman"/>
                <w:sz w:val="21"/>
                <w:szCs w:val="21"/>
                <w:lang w:val="en-GB" w:eastAsia="zh-CN"/>
              </w:rPr>
              <w:t>。</w:t>
            </w:r>
          </w:p>
        </w:tc>
      </w:tr>
      <w:tr w:rsidR="00E25C99" w:rsidRPr="00FA4D62" w14:paraId="28478B8F" w14:textId="77777777" w:rsidTr="002E461C">
        <w:trPr>
          <w:trHeight w:val="870"/>
          <w:jc w:val="center"/>
        </w:trPr>
        <w:tc>
          <w:tcPr>
            <w:tcW w:w="1940" w:type="dxa"/>
            <w:vMerge/>
            <w:shd w:val="clear" w:color="auto" w:fill="D9D9D9"/>
            <w:vAlign w:val="center"/>
          </w:tcPr>
          <w:p w14:paraId="6ACEB7EC" w14:textId="77777777" w:rsidR="00E25C99" w:rsidRPr="002E461C" w:rsidRDefault="00E25C99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14:paraId="1772C04A" w14:textId="59675D30" w:rsidR="00E25C99" w:rsidRPr="00FA4D62" w:rsidRDefault="00E25C99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sz w:val="21"/>
                <w:szCs w:val="21"/>
                <w:lang w:val="en-US" w:eastAsia="zh-CN"/>
              </w:rPr>
            </w:pPr>
            <w:r w:rsidRPr="00FA4D62">
              <w:rPr>
                <w:rFonts w:ascii="Wingdings" w:hAnsi="Wingdings"/>
                <w:sz w:val="21"/>
                <w:szCs w:val="21"/>
                <w:lang w:eastAsia="zh-CN"/>
              </w:rPr>
              <w:sym w:font="Wingdings" w:char="F06F"/>
            </w:r>
            <w:r w:rsidRPr="00FA4D62">
              <w:rPr>
                <w:rFonts w:cs="Times New Roman"/>
                <w:sz w:val="21"/>
                <w:szCs w:val="21"/>
                <w:lang w:val="en-GB" w:eastAsia="zh-CN"/>
              </w:rPr>
              <w:t xml:space="preserve"> 4</w:t>
            </w:r>
            <w:r w:rsidRPr="00FA4D62">
              <w:rPr>
                <w:rFonts w:cs="Times New Roman"/>
                <w:sz w:val="21"/>
                <w:szCs w:val="21"/>
                <w:lang w:val="en-GB" w:eastAsia="zh-CN"/>
              </w:rPr>
              <w:t>、参与集中的经营者在中国境外设立合营企业，合营企业不在中国境内从事经济活动。</w:t>
            </w:r>
          </w:p>
        </w:tc>
      </w:tr>
      <w:tr w:rsidR="00E25C99" w:rsidRPr="00FA4D62" w14:paraId="1243D2A5" w14:textId="77777777" w:rsidTr="002E461C">
        <w:trPr>
          <w:trHeight w:val="264"/>
          <w:jc w:val="center"/>
        </w:trPr>
        <w:tc>
          <w:tcPr>
            <w:tcW w:w="1940" w:type="dxa"/>
            <w:vMerge/>
            <w:shd w:val="clear" w:color="auto" w:fill="D9D9D9"/>
            <w:vAlign w:val="center"/>
          </w:tcPr>
          <w:p w14:paraId="5BC1BB06" w14:textId="77777777" w:rsidR="00E25C99" w:rsidRPr="002E461C" w:rsidRDefault="00E25C99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14:paraId="3230B95C" w14:textId="017E277B" w:rsidR="00E25C99" w:rsidRPr="00FA4D62" w:rsidRDefault="00E25C99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sz w:val="21"/>
                <w:szCs w:val="21"/>
                <w:lang w:val="en-US" w:eastAsia="zh-CN"/>
              </w:rPr>
            </w:pPr>
            <w:r w:rsidRPr="00FA4D62">
              <w:rPr>
                <w:rFonts w:ascii="Wingdings" w:hAnsi="Wingdings"/>
                <w:sz w:val="21"/>
                <w:szCs w:val="21"/>
                <w:lang w:eastAsia="zh-CN"/>
              </w:rPr>
              <w:sym w:font="Wingdings" w:char="F06F"/>
            </w:r>
            <w:r w:rsidRPr="00FA4D62">
              <w:rPr>
                <w:rFonts w:cs="Times New Roman"/>
                <w:sz w:val="21"/>
                <w:szCs w:val="21"/>
                <w:lang w:val="en-GB" w:eastAsia="zh-CN"/>
              </w:rPr>
              <w:t xml:space="preserve"> 5</w:t>
            </w:r>
            <w:r w:rsidRPr="00FA4D62">
              <w:rPr>
                <w:rFonts w:cs="Times New Roman"/>
                <w:sz w:val="21"/>
                <w:szCs w:val="21"/>
                <w:lang w:val="en-GB"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E25C99" w:rsidRPr="00FA4D62" w14:paraId="1E524DB4" w14:textId="77777777" w:rsidTr="002E461C">
        <w:trPr>
          <w:trHeight w:val="345"/>
          <w:jc w:val="center"/>
        </w:trPr>
        <w:tc>
          <w:tcPr>
            <w:tcW w:w="1940" w:type="dxa"/>
            <w:vMerge/>
            <w:shd w:val="clear" w:color="auto" w:fill="D9D9D9"/>
            <w:vAlign w:val="center"/>
          </w:tcPr>
          <w:p w14:paraId="4EF4BDB6" w14:textId="77777777" w:rsidR="00E25C99" w:rsidRPr="002E461C" w:rsidRDefault="00E25C99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14:paraId="1E1ECAAF" w14:textId="7F4CB2CC" w:rsidR="00E25C99" w:rsidRPr="00FA4D62" w:rsidRDefault="00E25C99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sz w:val="21"/>
                <w:szCs w:val="21"/>
                <w:lang w:val="en-US" w:eastAsia="zh-CN"/>
              </w:rPr>
            </w:pPr>
            <w:r w:rsidRPr="00FA4D62">
              <w:rPr>
                <w:rFonts w:ascii="Wingdings" w:hAnsi="Wingdings"/>
                <w:sz w:val="21"/>
                <w:szCs w:val="21"/>
                <w:lang w:eastAsia="zh-CN"/>
              </w:rPr>
              <w:sym w:font="Wingdings" w:char="F06F"/>
            </w:r>
            <w:r w:rsidRPr="00FA4D62">
              <w:rPr>
                <w:rFonts w:cs="Times New Roman"/>
                <w:sz w:val="21"/>
                <w:szCs w:val="21"/>
                <w:lang w:val="en-GB" w:eastAsia="zh-CN"/>
              </w:rPr>
              <w:t xml:space="preserve"> 6</w:t>
            </w:r>
            <w:r w:rsidRPr="00FA4D62">
              <w:rPr>
                <w:rFonts w:cs="Times New Roman"/>
                <w:sz w:val="21"/>
                <w:szCs w:val="21"/>
                <w:lang w:val="en-GB"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E25C99" w:rsidRPr="00FA4D62" w14:paraId="4A7E4B3D" w14:textId="77777777" w:rsidTr="002E461C">
        <w:trPr>
          <w:jc w:val="center"/>
        </w:trPr>
        <w:tc>
          <w:tcPr>
            <w:tcW w:w="1940" w:type="dxa"/>
            <w:shd w:val="clear" w:color="auto" w:fill="D9D9D9"/>
            <w:vAlign w:val="center"/>
          </w:tcPr>
          <w:p w14:paraId="567BB9B9" w14:textId="77777777" w:rsidR="00E25C99" w:rsidRPr="002E461C" w:rsidRDefault="00E25C99" w:rsidP="00E25C99">
            <w:pPr>
              <w:pStyle w:val="a7"/>
              <w:snapToGrid w:val="0"/>
              <w:spacing w:after="0" w:line="360" w:lineRule="auto"/>
              <w:rPr>
                <w:rFonts w:cs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2E461C">
              <w:rPr>
                <w:rFonts w:cs="Times New Roman"/>
                <w:b/>
                <w:bCs/>
                <w:sz w:val="21"/>
                <w:szCs w:val="21"/>
                <w:lang w:val="en-GB"/>
              </w:rPr>
              <w:t>备注</w:t>
            </w:r>
            <w:proofErr w:type="spellEnd"/>
          </w:p>
        </w:tc>
        <w:tc>
          <w:tcPr>
            <w:tcW w:w="7269" w:type="dxa"/>
            <w:gridSpan w:val="2"/>
            <w:shd w:val="clear" w:color="auto" w:fill="auto"/>
          </w:tcPr>
          <w:p w14:paraId="1359D1F1" w14:textId="2BD063D3" w:rsidR="00E25C99" w:rsidRPr="00FA4D62" w:rsidRDefault="00E25C99" w:rsidP="00E25C99">
            <w:pPr>
              <w:snapToGrid w:val="0"/>
              <w:spacing w:after="0"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本次交易涉及的相关</w:t>
            </w:r>
            <w:r w:rsidRPr="00FA4D62">
              <w:rPr>
                <w:rFonts w:hint="eastAsia"/>
                <w:b/>
                <w:sz w:val="21"/>
                <w:szCs w:val="21"/>
              </w:rPr>
              <w:t>市场：</w:t>
            </w:r>
          </w:p>
          <w:p w14:paraId="69770616" w14:textId="77777777" w:rsidR="00DB1901" w:rsidRDefault="00DB1901" w:rsidP="00E25C99">
            <w:pPr>
              <w:snapToGrid w:val="0"/>
              <w:spacing w:after="0" w:line="360" w:lineRule="auto"/>
              <w:rPr>
                <w:bCs/>
                <w:sz w:val="21"/>
                <w:szCs w:val="21"/>
              </w:rPr>
            </w:pPr>
            <w:r w:rsidRPr="00DB1901">
              <w:rPr>
                <w:rFonts w:hint="eastAsia"/>
                <w:bCs/>
                <w:sz w:val="21"/>
                <w:szCs w:val="21"/>
              </w:rPr>
              <w:t>良田水泥厂周边约</w:t>
            </w:r>
            <w:r w:rsidRPr="00DB1901">
              <w:rPr>
                <w:rFonts w:hint="eastAsia"/>
                <w:bCs/>
                <w:sz w:val="21"/>
                <w:szCs w:val="21"/>
              </w:rPr>
              <w:t>200</w:t>
            </w:r>
            <w:r w:rsidRPr="00DB1901">
              <w:rPr>
                <w:rFonts w:hint="eastAsia"/>
                <w:bCs/>
                <w:sz w:val="21"/>
                <w:szCs w:val="21"/>
              </w:rPr>
              <w:t>公里范围内通用水泥市场</w:t>
            </w:r>
          </w:p>
          <w:p w14:paraId="2FBD6E5D" w14:textId="0D65FB99" w:rsidR="001B5AEA" w:rsidRDefault="00DB1901" w:rsidP="00E25C99">
            <w:pPr>
              <w:snapToGrid w:val="0"/>
              <w:spacing w:after="0" w:line="360" w:lineRule="auto"/>
              <w:rPr>
                <w:bCs/>
                <w:sz w:val="21"/>
                <w:szCs w:val="21"/>
              </w:rPr>
            </w:pPr>
            <w:r w:rsidRPr="00DB1901">
              <w:rPr>
                <w:rFonts w:hint="eastAsia"/>
                <w:bCs/>
                <w:sz w:val="21"/>
                <w:szCs w:val="21"/>
              </w:rPr>
              <w:t>良田水泥厂周边约</w:t>
            </w:r>
            <w:r w:rsidRPr="00DB1901">
              <w:rPr>
                <w:rFonts w:hint="eastAsia"/>
                <w:bCs/>
                <w:sz w:val="21"/>
                <w:szCs w:val="21"/>
              </w:rPr>
              <w:t>200</w:t>
            </w:r>
            <w:r w:rsidRPr="00DB1901">
              <w:rPr>
                <w:rFonts w:hint="eastAsia"/>
                <w:bCs/>
                <w:sz w:val="21"/>
                <w:szCs w:val="21"/>
              </w:rPr>
              <w:t>公里范围内水泥熟料市场</w:t>
            </w:r>
          </w:p>
          <w:p w14:paraId="1C71D11C" w14:textId="77777777" w:rsidR="00DB1901" w:rsidRDefault="00DB1901" w:rsidP="00E25C99">
            <w:pPr>
              <w:snapToGrid w:val="0"/>
              <w:spacing w:after="0" w:line="360" w:lineRule="auto"/>
              <w:rPr>
                <w:bCs/>
                <w:sz w:val="21"/>
                <w:szCs w:val="21"/>
              </w:rPr>
            </w:pPr>
          </w:p>
          <w:p w14:paraId="295A32F6" w14:textId="1F452C0E" w:rsidR="00E25C99" w:rsidRPr="00FA4D62" w:rsidRDefault="00E25C99" w:rsidP="00E25C99">
            <w:pPr>
              <w:snapToGrid w:val="0"/>
              <w:spacing w:after="0" w:line="360" w:lineRule="auto"/>
              <w:rPr>
                <w:b/>
                <w:sz w:val="21"/>
                <w:szCs w:val="21"/>
              </w:rPr>
            </w:pPr>
            <w:r w:rsidRPr="00FA4D62">
              <w:rPr>
                <w:rFonts w:hint="eastAsia"/>
                <w:b/>
                <w:sz w:val="21"/>
                <w:szCs w:val="21"/>
              </w:rPr>
              <w:t>市场份额：</w:t>
            </w:r>
          </w:p>
          <w:p w14:paraId="014DCB02" w14:textId="77777777" w:rsidR="00DB1901" w:rsidRDefault="00DB1901" w:rsidP="00E25C99">
            <w:pPr>
              <w:snapToGrid w:val="0"/>
              <w:spacing w:after="0" w:line="360" w:lineRule="auto"/>
              <w:rPr>
                <w:sz w:val="21"/>
                <w:szCs w:val="21"/>
              </w:rPr>
            </w:pPr>
            <w:r w:rsidRPr="00DB1901">
              <w:rPr>
                <w:rFonts w:hint="eastAsia"/>
                <w:sz w:val="21"/>
                <w:szCs w:val="21"/>
              </w:rPr>
              <w:t>良田水泥厂周边约</w:t>
            </w:r>
            <w:r w:rsidRPr="00DB1901">
              <w:rPr>
                <w:rFonts w:hint="eastAsia"/>
                <w:sz w:val="21"/>
                <w:szCs w:val="21"/>
              </w:rPr>
              <w:t>200</w:t>
            </w:r>
            <w:r w:rsidRPr="00DB1901">
              <w:rPr>
                <w:rFonts w:hint="eastAsia"/>
                <w:sz w:val="21"/>
                <w:szCs w:val="21"/>
              </w:rPr>
              <w:t>公里范围内通用水泥市场</w:t>
            </w:r>
            <w:r w:rsidR="001B5AEA">
              <w:rPr>
                <w:rFonts w:hint="eastAsia"/>
                <w:sz w:val="21"/>
                <w:szCs w:val="21"/>
              </w:rPr>
              <w:t>：</w:t>
            </w:r>
          </w:p>
          <w:p w14:paraId="599533C6" w14:textId="26D55CE5" w:rsidR="00C627BA" w:rsidRDefault="00DB1901" w:rsidP="00E25C99">
            <w:pPr>
              <w:snapToGrid w:val="0"/>
              <w:spacing w:after="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华润水泥</w:t>
            </w:r>
            <w:r w:rsidR="00B96233">
              <w:rPr>
                <w:sz w:val="21"/>
                <w:szCs w:val="21"/>
              </w:rPr>
              <w:t>0</w:t>
            </w:r>
            <w:r w:rsidR="001B5AEA">
              <w:rPr>
                <w:sz w:val="21"/>
                <w:szCs w:val="21"/>
              </w:rPr>
              <w:t>%</w:t>
            </w:r>
            <w:r w:rsidR="001B5AEA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目标公司</w:t>
            </w:r>
            <w:r>
              <w:rPr>
                <w:rFonts w:hint="eastAsia"/>
                <w:sz w:val="21"/>
                <w:szCs w:val="21"/>
              </w:rPr>
              <w:t>[</w:t>
            </w:r>
            <w:r>
              <w:rPr>
                <w:sz w:val="21"/>
                <w:szCs w:val="21"/>
              </w:rPr>
              <w:t>10-15]%</w:t>
            </w:r>
            <w:r w:rsidR="00827522">
              <w:rPr>
                <w:rFonts w:hint="eastAsia"/>
                <w:sz w:val="21"/>
                <w:szCs w:val="21"/>
              </w:rPr>
              <w:t>。</w:t>
            </w:r>
          </w:p>
          <w:p w14:paraId="466AC371" w14:textId="7C6A6DB7" w:rsidR="00DB1901" w:rsidRDefault="00DB1901" w:rsidP="00E25C99">
            <w:pPr>
              <w:snapToGrid w:val="0"/>
              <w:spacing w:after="0" w:line="360" w:lineRule="auto"/>
              <w:rPr>
                <w:sz w:val="21"/>
                <w:szCs w:val="21"/>
              </w:rPr>
            </w:pPr>
          </w:p>
          <w:p w14:paraId="0DD59D1A" w14:textId="77777777" w:rsidR="00DB1901" w:rsidRDefault="00DB1901" w:rsidP="00DB1901">
            <w:pPr>
              <w:snapToGrid w:val="0"/>
              <w:spacing w:after="0" w:line="360" w:lineRule="auto"/>
              <w:rPr>
                <w:bCs/>
                <w:sz w:val="21"/>
                <w:szCs w:val="21"/>
              </w:rPr>
            </w:pPr>
            <w:r w:rsidRPr="00DB1901">
              <w:rPr>
                <w:rFonts w:hint="eastAsia"/>
                <w:bCs/>
                <w:sz w:val="21"/>
                <w:szCs w:val="21"/>
              </w:rPr>
              <w:t>良田水泥厂周边约</w:t>
            </w:r>
            <w:r w:rsidRPr="00DB1901">
              <w:rPr>
                <w:rFonts w:hint="eastAsia"/>
                <w:bCs/>
                <w:sz w:val="21"/>
                <w:szCs w:val="21"/>
              </w:rPr>
              <w:t>200</w:t>
            </w:r>
            <w:r w:rsidRPr="00DB1901">
              <w:rPr>
                <w:rFonts w:hint="eastAsia"/>
                <w:bCs/>
                <w:sz w:val="21"/>
                <w:szCs w:val="21"/>
              </w:rPr>
              <w:t>公里范围内水泥熟料市场</w:t>
            </w:r>
          </w:p>
          <w:p w14:paraId="117B83DC" w14:textId="4EE2B8BE" w:rsidR="001B5AEA" w:rsidRPr="00FA4D62" w:rsidRDefault="00DB1901" w:rsidP="00E25C99">
            <w:pPr>
              <w:snapToGrid w:val="0"/>
              <w:spacing w:after="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华润水泥</w:t>
            </w:r>
            <w:r w:rsidR="001D2C59">
              <w:rPr>
                <w:sz w:val="21"/>
                <w:szCs w:val="21"/>
              </w:rPr>
              <w:t>0</w:t>
            </w:r>
            <w:r w:rsidR="001B5AEA">
              <w:rPr>
                <w:sz w:val="21"/>
                <w:szCs w:val="21"/>
              </w:rPr>
              <w:t>%</w:t>
            </w:r>
            <w:r w:rsidR="001B5AEA">
              <w:rPr>
                <w:rFonts w:hint="eastAsia"/>
                <w:sz w:val="21"/>
                <w:szCs w:val="21"/>
              </w:rPr>
              <w:t>；</w:t>
            </w:r>
            <w:r w:rsidR="00827522">
              <w:rPr>
                <w:rFonts w:hint="eastAsia"/>
                <w:sz w:val="21"/>
                <w:szCs w:val="21"/>
              </w:rPr>
              <w:t>目标公司</w:t>
            </w:r>
            <w:r w:rsidR="00827522">
              <w:rPr>
                <w:rFonts w:hint="eastAsia"/>
                <w:sz w:val="21"/>
                <w:szCs w:val="21"/>
              </w:rPr>
              <w:t>[</w:t>
            </w:r>
            <w:r w:rsidR="00827522">
              <w:rPr>
                <w:sz w:val="21"/>
                <w:szCs w:val="21"/>
              </w:rPr>
              <w:t>15-20]%</w:t>
            </w:r>
            <w:r w:rsidR="00827522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7D493896" w14:textId="77777777" w:rsidR="0005110A" w:rsidRPr="00302B9D" w:rsidRDefault="0005110A" w:rsidP="00302B9D">
      <w:pPr>
        <w:snapToGrid w:val="0"/>
        <w:spacing w:after="0" w:line="360" w:lineRule="auto"/>
        <w:rPr>
          <w:rFonts w:hint="eastAsia"/>
          <w:sz w:val="21"/>
          <w:szCs w:val="21"/>
        </w:rPr>
      </w:pPr>
    </w:p>
    <w:sectPr w:rsidR="0005110A" w:rsidRPr="00302B9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7513" w14:textId="77777777" w:rsidR="000D1CEE" w:rsidRDefault="000D1CEE" w:rsidP="00D92E0B">
      <w:pPr>
        <w:spacing w:after="0"/>
      </w:pPr>
      <w:r>
        <w:separator/>
      </w:r>
    </w:p>
  </w:endnote>
  <w:endnote w:type="continuationSeparator" w:id="0">
    <w:p w14:paraId="5AD73EC3" w14:textId="77777777" w:rsidR="000D1CEE" w:rsidRDefault="000D1CEE" w:rsidP="00D92E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13081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194DC1EB" w14:textId="37734F65" w:rsidR="008A3B57" w:rsidRPr="008A3B57" w:rsidRDefault="008A3B57">
        <w:pPr>
          <w:pStyle w:val="a5"/>
          <w:jc w:val="center"/>
          <w:rPr>
            <w:sz w:val="22"/>
          </w:rPr>
        </w:pPr>
        <w:r w:rsidRPr="008A3B57">
          <w:rPr>
            <w:sz w:val="22"/>
          </w:rPr>
          <w:fldChar w:fldCharType="begin"/>
        </w:r>
        <w:r w:rsidRPr="008A3B57">
          <w:rPr>
            <w:sz w:val="22"/>
          </w:rPr>
          <w:instrText xml:space="preserve"> PAGE   \* MERGEFORMAT </w:instrText>
        </w:r>
        <w:r w:rsidRPr="008A3B57">
          <w:rPr>
            <w:sz w:val="22"/>
          </w:rPr>
          <w:fldChar w:fldCharType="separate"/>
        </w:r>
        <w:r w:rsidR="00874B87">
          <w:rPr>
            <w:noProof/>
            <w:sz w:val="22"/>
          </w:rPr>
          <w:t>1</w:t>
        </w:r>
        <w:r w:rsidRPr="008A3B57">
          <w:rPr>
            <w:noProof/>
            <w:sz w:val="22"/>
          </w:rPr>
          <w:fldChar w:fldCharType="end"/>
        </w:r>
      </w:p>
    </w:sdtContent>
  </w:sdt>
  <w:p w14:paraId="5CB824E5" w14:textId="77777777" w:rsidR="0099230E" w:rsidRDefault="0099230E">
    <w:pPr>
      <w:pStyle w:val="a5"/>
    </w:pPr>
  </w:p>
  <w:p w14:paraId="2CDA6E28" w14:textId="77777777" w:rsidR="00000000" w:rsidRDefault="000D1C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7A5A" w14:textId="77777777" w:rsidR="000D1CEE" w:rsidRDefault="000D1CEE" w:rsidP="00D92E0B">
      <w:pPr>
        <w:spacing w:after="0"/>
      </w:pPr>
      <w:r>
        <w:separator/>
      </w:r>
    </w:p>
  </w:footnote>
  <w:footnote w:type="continuationSeparator" w:id="0">
    <w:p w14:paraId="0DA1B022" w14:textId="77777777" w:rsidR="000D1CEE" w:rsidRDefault="000D1CEE" w:rsidP="00D92E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498"/>
    <w:multiLevelType w:val="multilevel"/>
    <w:tmpl w:val="8BB6627A"/>
    <w:name w:val="General"/>
    <w:lvl w:ilvl="0">
      <w:start w:val="1"/>
      <w:numFmt w:val="decimal"/>
      <w:lvlRestart w:val="0"/>
      <w:pStyle w:val="General3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General3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General3L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General3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General3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General3L6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General3L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General3L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General3L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119B1A7F"/>
    <w:multiLevelType w:val="hybridMultilevel"/>
    <w:tmpl w:val="7CB24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56FB"/>
    <w:multiLevelType w:val="hybridMultilevel"/>
    <w:tmpl w:val="372042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325A3B"/>
    <w:multiLevelType w:val="hybridMultilevel"/>
    <w:tmpl w:val="A028A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7628B"/>
    <w:multiLevelType w:val="multilevel"/>
    <w:tmpl w:val="7884FE8A"/>
    <w:name w:val="General 3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740123C4"/>
    <w:multiLevelType w:val="hybridMultilevel"/>
    <w:tmpl w:val="9E6AC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zI2MjIyMQMyzJR0lIJTi4sz8/NACgxNawFby3fnLQAAAA=="/>
  </w:docVars>
  <w:rsids>
    <w:rsidRoot w:val="00D92E0B"/>
    <w:rsid w:val="00001A6D"/>
    <w:rsid w:val="00012632"/>
    <w:rsid w:val="00047A80"/>
    <w:rsid w:val="0005110A"/>
    <w:rsid w:val="00066BB2"/>
    <w:rsid w:val="00075F30"/>
    <w:rsid w:val="00081927"/>
    <w:rsid w:val="0008652E"/>
    <w:rsid w:val="00093710"/>
    <w:rsid w:val="000B635F"/>
    <w:rsid w:val="000C0A4A"/>
    <w:rsid w:val="000C29B9"/>
    <w:rsid w:val="000D1CEE"/>
    <w:rsid w:val="00102F76"/>
    <w:rsid w:val="001620F1"/>
    <w:rsid w:val="0017603B"/>
    <w:rsid w:val="00182811"/>
    <w:rsid w:val="001907EF"/>
    <w:rsid w:val="001937A5"/>
    <w:rsid w:val="001B562E"/>
    <w:rsid w:val="001B5AEA"/>
    <w:rsid w:val="001D2C59"/>
    <w:rsid w:val="001E7029"/>
    <w:rsid w:val="001E7764"/>
    <w:rsid w:val="001F5218"/>
    <w:rsid w:val="001F64C3"/>
    <w:rsid w:val="001F7C85"/>
    <w:rsid w:val="0022234D"/>
    <w:rsid w:val="00223AB1"/>
    <w:rsid w:val="00235614"/>
    <w:rsid w:val="0023778F"/>
    <w:rsid w:val="0024351F"/>
    <w:rsid w:val="002525EC"/>
    <w:rsid w:val="002752CF"/>
    <w:rsid w:val="00285045"/>
    <w:rsid w:val="002955B1"/>
    <w:rsid w:val="002E461C"/>
    <w:rsid w:val="002F7B74"/>
    <w:rsid w:val="00302B9D"/>
    <w:rsid w:val="00333793"/>
    <w:rsid w:val="00346D4D"/>
    <w:rsid w:val="00352AEF"/>
    <w:rsid w:val="003807A4"/>
    <w:rsid w:val="003A28B1"/>
    <w:rsid w:val="003A7C04"/>
    <w:rsid w:val="003B0588"/>
    <w:rsid w:val="003B5CE5"/>
    <w:rsid w:val="003F4CF9"/>
    <w:rsid w:val="0041446C"/>
    <w:rsid w:val="004304DB"/>
    <w:rsid w:val="00431188"/>
    <w:rsid w:val="00475426"/>
    <w:rsid w:val="0047593C"/>
    <w:rsid w:val="004871BD"/>
    <w:rsid w:val="004A4ED8"/>
    <w:rsid w:val="004C0D13"/>
    <w:rsid w:val="004C7695"/>
    <w:rsid w:val="004D1096"/>
    <w:rsid w:val="004E4FC5"/>
    <w:rsid w:val="004E5A46"/>
    <w:rsid w:val="004F0041"/>
    <w:rsid w:val="004F26EC"/>
    <w:rsid w:val="004F7126"/>
    <w:rsid w:val="00523C5E"/>
    <w:rsid w:val="00552E13"/>
    <w:rsid w:val="00555FD7"/>
    <w:rsid w:val="00585893"/>
    <w:rsid w:val="005A7D2A"/>
    <w:rsid w:val="0064168F"/>
    <w:rsid w:val="006450E1"/>
    <w:rsid w:val="00676DEA"/>
    <w:rsid w:val="006809F1"/>
    <w:rsid w:val="00683CEC"/>
    <w:rsid w:val="006B5DC8"/>
    <w:rsid w:val="006D5A9E"/>
    <w:rsid w:val="006E141B"/>
    <w:rsid w:val="0070190E"/>
    <w:rsid w:val="00705E85"/>
    <w:rsid w:val="00717AC9"/>
    <w:rsid w:val="00721041"/>
    <w:rsid w:val="00731AD0"/>
    <w:rsid w:val="007472FC"/>
    <w:rsid w:val="007535D1"/>
    <w:rsid w:val="00764DB0"/>
    <w:rsid w:val="00772AA6"/>
    <w:rsid w:val="0079009C"/>
    <w:rsid w:val="007A47AA"/>
    <w:rsid w:val="007C064C"/>
    <w:rsid w:val="008043E6"/>
    <w:rsid w:val="00827522"/>
    <w:rsid w:val="00836C2E"/>
    <w:rsid w:val="008436B7"/>
    <w:rsid w:val="00852A85"/>
    <w:rsid w:val="008562CE"/>
    <w:rsid w:val="00862F7B"/>
    <w:rsid w:val="008656E0"/>
    <w:rsid w:val="00874B87"/>
    <w:rsid w:val="008907DB"/>
    <w:rsid w:val="008A3B57"/>
    <w:rsid w:val="008B3DCC"/>
    <w:rsid w:val="008F16B9"/>
    <w:rsid w:val="009004F6"/>
    <w:rsid w:val="00926316"/>
    <w:rsid w:val="00932B1D"/>
    <w:rsid w:val="00944E3F"/>
    <w:rsid w:val="00955B7B"/>
    <w:rsid w:val="00966276"/>
    <w:rsid w:val="00976BEB"/>
    <w:rsid w:val="0099230E"/>
    <w:rsid w:val="009D60C7"/>
    <w:rsid w:val="009E7BE6"/>
    <w:rsid w:val="009E7DAC"/>
    <w:rsid w:val="009F0D06"/>
    <w:rsid w:val="009F2F6B"/>
    <w:rsid w:val="00A101C3"/>
    <w:rsid w:val="00A15456"/>
    <w:rsid w:val="00A37D75"/>
    <w:rsid w:val="00A404AF"/>
    <w:rsid w:val="00A4568B"/>
    <w:rsid w:val="00A63F91"/>
    <w:rsid w:val="00A766C7"/>
    <w:rsid w:val="00A87CCB"/>
    <w:rsid w:val="00AA25F3"/>
    <w:rsid w:val="00AA5D49"/>
    <w:rsid w:val="00AB2557"/>
    <w:rsid w:val="00AB4344"/>
    <w:rsid w:val="00AB7F70"/>
    <w:rsid w:val="00AD5A43"/>
    <w:rsid w:val="00B00E34"/>
    <w:rsid w:val="00B15B57"/>
    <w:rsid w:val="00B30358"/>
    <w:rsid w:val="00B46CF4"/>
    <w:rsid w:val="00B509AC"/>
    <w:rsid w:val="00B80E6D"/>
    <w:rsid w:val="00B82A9B"/>
    <w:rsid w:val="00B94D6E"/>
    <w:rsid w:val="00B96233"/>
    <w:rsid w:val="00B963C0"/>
    <w:rsid w:val="00BB36AD"/>
    <w:rsid w:val="00BC063A"/>
    <w:rsid w:val="00BD7D42"/>
    <w:rsid w:val="00BE438D"/>
    <w:rsid w:val="00BF6B18"/>
    <w:rsid w:val="00C00AB9"/>
    <w:rsid w:val="00C46007"/>
    <w:rsid w:val="00C627BA"/>
    <w:rsid w:val="00C75B83"/>
    <w:rsid w:val="00C855C4"/>
    <w:rsid w:val="00C85FB8"/>
    <w:rsid w:val="00CC013D"/>
    <w:rsid w:val="00CC65C8"/>
    <w:rsid w:val="00CD590A"/>
    <w:rsid w:val="00CD73F7"/>
    <w:rsid w:val="00D211F6"/>
    <w:rsid w:val="00D458E2"/>
    <w:rsid w:val="00D45C98"/>
    <w:rsid w:val="00D56007"/>
    <w:rsid w:val="00D62EC6"/>
    <w:rsid w:val="00D72CDE"/>
    <w:rsid w:val="00D8647B"/>
    <w:rsid w:val="00D91095"/>
    <w:rsid w:val="00D92E0B"/>
    <w:rsid w:val="00DB1901"/>
    <w:rsid w:val="00DB27CB"/>
    <w:rsid w:val="00DB7F9F"/>
    <w:rsid w:val="00DC05CD"/>
    <w:rsid w:val="00DC1875"/>
    <w:rsid w:val="00DE21ED"/>
    <w:rsid w:val="00DF3D94"/>
    <w:rsid w:val="00E25C99"/>
    <w:rsid w:val="00E411E1"/>
    <w:rsid w:val="00E44950"/>
    <w:rsid w:val="00E94D11"/>
    <w:rsid w:val="00EA38D7"/>
    <w:rsid w:val="00ED1E91"/>
    <w:rsid w:val="00EF2CBF"/>
    <w:rsid w:val="00F217B4"/>
    <w:rsid w:val="00F4045F"/>
    <w:rsid w:val="00F524EE"/>
    <w:rsid w:val="00F55A38"/>
    <w:rsid w:val="00F76028"/>
    <w:rsid w:val="00F877CB"/>
    <w:rsid w:val="00FA4D62"/>
    <w:rsid w:val="00FB019D"/>
    <w:rsid w:val="00FB019E"/>
    <w:rsid w:val="00FB5C61"/>
    <w:rsid w:val="00FC7EB3"/>
    <w:rsid w:val="00FD21DC"/>
    <w:rsid w:val="00FE14A9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7BA744"/>
  <w15:chartTrackingRefBased/>
  <w15:docId w15:val="{C3D8D51E-6C01-4FCF-9F8E-BF7623C1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901"/>
    <w:pPr>
      <w:spacing w:after="240" w:line="240" w:lineRule="auto"/>
      <w:jc w:val="both"/>
    </w:pPr>
    <w:rPr>
      <w:rFonts w:ascii="Times New Roman" w:eastAsia="宋体" w:hAnsi="Times New Roman" w:cs="Times New Roman"/>
      <w:sz w:val="24"/>
      <w:szCs w:val="24"/>
      <w:lang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E0B"/>
    <w:pPr>
      <w:tabs>
        <w:tab w:val="center" w:pos="4153"/>
        <w:tab w:val="right" w:pos="8306"/>
      </w:tabs>
      <w:spacing w:after="0"/>
      <w:jc w:val="left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4">
    <w:name w:val="页眉 字符"/>
    <w:basedOn w:val="a0"/>
    <w:link w:val="a3"/>
    <w:uiPriority w:val="99"/>
    <w:rsid w:val="00D92E0B"/>
  </w:style>
  <w:style w:type="paragraph" w:styleId="a5">
    <w:name w:val="footer"/>
    <w:basedOn w:val="a"/>
    <w:link w:val="a6"/>
    <w:uiPriority w:val="99"/>
    <w:unhideWhenUsed/>
    <w:rsid w:val="00D92E0B"/>
    <w:pPr>
      <w:tabs>
        <w:tab w:val="center" w:pos="4153"/>
        <w:tab w:val="right" w:pos="8306"/>
      </w:tabs>
      <w:spacing w:after="0"/>
      <w:jc w:val="left"/>
    </w:pPr>
    <w:rPr>
      <w:rFonts w:eastAsiaTheme="minorEastAsia"/>
      <w:sz w:val="16"/>
      <w:szCs w:val="22"/>
      <w:lang w:bidi="ar-SA"/>
    </w:rPr>
  </w:style>
  <w:style w:type="character" w:customStyle="1" w:styleId="a6">
    <w:name w:val="页脚 字符"/>
    <w:basedOn w:val="a0"/>
    <w:link w:val="a5"/>
    <w:uiPriority w:val="99"/>
    <w:rsid w:val="00D92E0B"/>
    <w:rPr>
      <w:rFonts w:ascii="Times New Roman" w:hAnsi="Times New Roman" w:cs="Times New Roman"/>
      <w:sz w:val="16"/>
    </w:rPr>
  </w:style>
  <w:style w:type="paragraph" w:styleId="a7">
    <w:name w:val="Body Text"/>
    <w:basedOn w:val="a"/>
    <w:link w:val="a8"/>
    <w:rsid w:val="00D92E0B"/>
    <w:rPr>
      <w:rFonts w:cs="Simplified Arabic"/>
      <w:lang w:val="x-none" w:eastAsia="en-GB"/>
    </w:rPr>
  </w:style>
  <w:style w:type="character" w:customStyle="1" w:styleId="a8">
    <w:name w:val="正文文本 字符"/>
    <w:basedOn w:val="a0"/>
    <w:link w:val="a7"/>
    <w:rsid w:val="00D92E0B"/>
    <w:rPr>
      <w:rFonts w:ascii="Times New Roman" w:eastAsia="宋体" w:hAnsi="Times New Roman" w:cs="Simplified Arabic"/>
      <w:sz w:val="24"/>
      <w:szCs w:val="24"/>
      <w:lang w:val="x-none" w:eastAsia="en-GB" w:bidi="ar-AE"/>
    </w:rPr>
  </w:style>
  <w:style w:type="character" w:styleId="a9">
    <w:name w:val="page number"/>
    <w:basedOn w:val="a0"/>
    <w:uiPriority w:val="99"/>
    <w:semiHidden/>
    <w:unhideWhenUsed/>
    <w:rsid w:val="00852A85"/>
    <w:rPr>
      <w:rFonts w:ascii="Times New Roman" w:hAnsi="Times New Roman" w:cs="Times New Roman"/>
      <w:b w:val="0"/>
      <w:sz w:val="24"/>
    </w:rPr>
  </w:style>
  <w:style w:type="paragraph" w:customStyle="1" w:styleId="FooterRight">
    <w:name w:val="Footer Right"/>
    <w:basedOn w:val="a5"/>
    <w:link w:val="FooterRightChar"/>
    <w:rsid w:val="00852A85"/>
    <w:pPr>
      <w:spacing w:line="440" w:lineRule="exact"/>
      <w:jc w:val="right"/>
    </w:pPr>
    <w:rPr>
      <w:szCs w:val="28"/>
    </w:rPr>
  </w:style>
  <w:style w:type="character" w:customStyle="1" w:styleId="FooterRightChar">
    <w:name w:val="Footer Right Char"/>
    <w:basedOn w:val="a0"/>
    <w:link w:val="FooterRight"/>
    <w:rsid w:val="00852A85"/>
    <w:rPr>
      <w:rFonts w:ascii="Times New Roman" w:hAnsi="Times New Roman" w:cs="Times New Roman"/>
      <w:sz w:val="16"/>
      <w:szCs w:val="28"/>
    </w:rPr>
  </w:style>
  <w:style w:type="character" w:styleId="aa">
    <w:name w:val="Hyperlink"/>
    <w:uiPriority w:val="99"/>
    <w:rsid w:val="007535D1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64168F"/>
    <w:rPr>
      <w:color w:val="808080"/>
      <w:shd w:val="clear" w:color="auto" w:fill="E6E6E6"/>
    </w:rPr>
  </w:style>
  <w:style w:type="paragraph" w:styleId="ac">
    <w:name w:val="Balloon Text"/>
    <w:basedOn w:val="a"/>
    <w:link w:val="ad"/>
    <w:uiPriority w:val="99"/>
    <w:semiHidden/>
    <w:unhideWhenUsed/>
    <w:rsid w:val="00AB7F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B7F70"/>
    <w:rPr>
      <w:rFonts w:ascii="Segoe UI" w:eastAsia="宋体" w:hAnsi="Segoe UI" w:cs="Segoe UI"/>
      <w:sz w:val="18"/>
      <w:szCs w:val="18"/>
      <w:lang w:bidi="ar-AE"/>
    </w:rPr>
  </w:style>
  <w:style w:type="paragraph" w:styleId="2">
    <w:name w:val="Body Text 2"/>
    <w:basedOn w:val="a"/>
    <w:link w:val="20"/>
    <w:uiPriority w:val="99"/>
    <w:semiHidden/>
    <w:unhideWhenUsed/>
    <w:rsid w:val="00EF2CBF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EF2CBF"/>
    <w:rPr>
      <w:rFonts w:ascii="Times New Roman" w:eastAsia="宋体" w:hAnsi="Times New Roman" w:cs="Times New Roman"/>
      <w:sz w:val="24"/>
      <w:szCs w:val="24"/>
      <w:lang w:bidi="ar-AE"/>
    </w:rPr>
  </w:style>
  <w:style w:type="paragraph" w:customStyle="1" w:styleId="General3L9">
    <w:name w:val="General 3 L9"/>
    <w:basedOn w:val="a"/>
    <w:rsid w:val="00EF2CBF"/>
    <w:pPr>
      <w:numPr>
        <w:ilvl w:val="8"/>
        <w:numId w:val="1"/>
      </w:numPr>
      <w:outlineLvl w:val="8"/>
    </w:pPr>
    <w:rPr>
      <w:rFonts w:cs="Simplified Arabic"/>
      <w:bCs/>
    </w:rPr>
  </w:style>
  <w:style w:type="paragraph" w:customStyle="1" w:styleId="General3L8">
    <w:name w:val="General 3 L8"/>
    <w:basedOn w:val="a"/>
    <w:rsid w:val="00EF2CBF"/>
    <w:pPr>
      <w:numPr>
        <w:ilvl w:val="7"/>
        <w:numId w:val="1"/>
      </w:numPr>
      <w:outlineLvl w:val="7"/>
    </w:pPr>
    <w:rPr>
      <w:rFonts w:cs="Simplified Arabic"/>
      <w:bCs/>
    </w:rPr>
  </w:style>
  <w:style w:type="paragraph" w:customStyle="1" w:styleId="General3L7">
    <w:name w:val="General 3 L7"/>
    <w:basedOn w:val="a"/>
    <w:rsid w:val="00EF2CBF"/>
    <w:pPr>
      <w:numPr>
        <w:ilvl w:val="6"/>
        <w:numId w:val="1"/>
      </w:numPr>
      <w:outlineLvl w:val="6"/>
    </w:pPr>
    <w:rPr>
      <w:rFonts w:cs="Simplified Arabic"/>
      <w:bCs/>
    </w:rPr>
  </w:style>
  <w:style w:type="paragraph" w:customStyle="1" w:styleId="General3L6">
    <w:name w:val="General 3 L6"/>
    <w:basedOn w:val="a"/>
    <w:rsid w:val="00EF2CBF"/>
    <w:pPr>
      <w:numPr>
        <w:ilvl w:val="5"/>
        <w:numId w:val="1"/>
      </w:numPr>
      <w:outlineLvl w:val="5"/>
    </w:pPr>
    <w:rPr>
      <w:rFonts w:cs="Simplified Arabic"/>
      <w:bCs/>
    </w:rPr>
  </w:style>
  <w:style w:type="paragraph" w:customStyle="1" w:styleId="General3L5">
    <w:name w:val="General 3 L5"/>
    <w:basedOn w:val="a"/>
    <w:next w:val="a"/>
    <w:rsid w:val="00EF2CBF"/>
    <w:pPr>
      <w:numPr>
        <w:ilvl w:val="4"/>
        <w:numId w:val="1"/>
      </w:numPr>
      <w:outlineLvl w:val="4"/>
    </w:pPr>
    <w:rPr>
      <w:rFonts w:cs="Simplified Arabic"/>
      <w:bCs/>
    </w:rPr>
  </w:style>
  <w:style w:type="paragraph" w:customStyle="1" w:styleId="General3L4">
    <w:name w:val="General 3 L4"/>
    <w:basedOn w:val="a"/>
    <w:next w:val="3"/>
    <w:rsid w:val="00EF2CBF"/>
    <w:pPr>
      <w:numPr>
        <w:ilvl w:val="3"/>
        <w:numId w:val="1"/>
      </w:numPr>
      <w:outlineLvl w:val="3"/>
    </w:pPr>
    <w:rPr>
      <w:rFonts w:cs="Simplified Arabic"/>
      <w:bCs/>
    </w:rPr>
  </w:style>
  <w:style w:type="paragraph" w:customStyle="1" w:styleId="General3L3">
    <w:name w:val="General 3 L3"/>
    <w:basedOn w:val="a"/>
    <w:next w:val="2"/>
    <w:rsid w:val="00EF2CBF"/>
    <w:pPr>
      <w:numPr>
        <w:ilvl w:val="2"/>
        <w:numId w:val="1"/>
      </w:numPr>
      <w:outlineLvl w:val="2"/>
    </w:pPr>
    <w:rPr>
      <w:rFonts w:cs="Simplified Arabic"/>
      <w:bCs/>
    </w:rPr>
  </w:style>
  <w:style w:type="paragraph" w:customStyle="1" w:styleId="General3L2">
    <w:name w:val="General 3 L2"/>
    <w:basedOn w:val="a"/>
    <w:next w:val="a"/>
    <w:rsid w:val="00EF2CBF"/>
    <w:pPr>
      <w:numPr>
        <w:ilvl w:val="1"/>
        <w:numId w:val="1"/>
      </w:numPr>
      <w:outlineLvl w:val="1"/>
    </w:pPr>
    <w:rPr>
      <w:rFonts w:cs="Simplified Arabic"/>
      <w:bCs/>
    </w:rPr>
  </w:style>
  <w:style w:type="paragraph" w:customStyle="1" w:styleId="General3L1">
    <w:name w:val="General 3 L1"/>
    <w:basedOn w:val="a"/>
    <w:next w:val="a"/>
    <w:rsid w:val="00EF2CBF"/>
    <w:pPr>
      <w:numPr>
        <w:numId w:val="1"/>
      </w:numPr>
      <w:outlineLvl w:val="0"/>
    </w:pPr>
    <w:rPr>
      <w:rFonts w:cs="Simplified Arabic"/>
      <w:bCs/>
    </w:rPr>
  </w:style>
  <w:style w:type="paragraph" w:styleId="3">
    <w:name w:val="Body Text 3"/>
    <w:basedOn w:val="a"/>
    <w:link w:val="30"/>
    <w:uiPriority w:val="99"/>
    <w:semiHidden/>
    <w:unhideWhenUsed/>
    <w:rsid w:val="00EF2CBF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EF2CBF"/>
    <w:rPr>
      <w:rFonts w:ascii="Times New Roman" w:eastAsia="宋体" w:hAnsi="Times New Roman" w:cs="Times New Roman"/>
      <w:sz w:val="16"/>
      <w:szCs w:val="16"/>
      <w:lang w:bidi="ar-AE"/>
    </w:rPr>
  </w:style>
  <w:style w:type="paragraph" w:styleId="ae">
    <w:name w:val="Revision"/>
    <w:hidden/>
    <w:uiPriority w:val="99"/>
    <w:semiHidden/>
    <w:rsid w:val="00555FD7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bidi="ar-AE"/>
    </w:rPr>
  </w:style>
  <w:style w:type="paragraph" w:styleId="af">
    <w:name w:val="List Paragraph"/>
    <w:basedOn w:val="a"/>
    <w:uiPriority w:val="34"/>
    <w:qFormat/>
    <w:rsid w:val="00D62EC6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styleId="af0">
    <w:name w:val="annotation reference"/>
    <w:basedOn w:val="a0"/>
    <w:uiPriority w:val="99"/>
    <w:semiHidden/>
    <w:unhideWhenUsed/>
    <w:rsid w:val="00D8647B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D8647B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D8647B"/>
    <w:rPr>
      <w:rFonts w:ascii="Times New Roman" w:eastAsia="宋体" w:hAnsi="Times New Roman" w:cs="Times New Roman"/>
      <w:sz w:val="24"/>
      <w:szCs w:val="24"/>
      <w:lang w:bidi="ar-A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647B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D8647B"/>
    <w:rPr>
      <w:rFonts w:ascii="Times New Roman" w:eastAsia="宋体" w:hAnsi="Times New Roman" w:cs="Times New Roman"/>
      <w:b/>
      <w:bCs/>
      <w:sz w:val="24"/>
      <w:szCs w:val="24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</dc:creator>
  <cp:keywords/>
  <cp:lastModifiedBy>GLO</cp:lastModifiedBy>
  <cp:revision>8</cp:revision>
  <dcterms:created xsi:type="dcterms:W3CDTF">2021-11-29T10:56:00Z</dcterms:created>
  <dcterms:modified xsi:type="dcterms:W3CDTF">2021-11-30T00:58:00Z</dcterms:modified>
</cp:coreProperties>
</file>