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Times New Roman" w:hAnsi="Times New Roman" w:eastAsia="仿宋_GB2312"/>
          <w:sz w:val="30"/>
          <w:szCs w:val="30"/>
        </w:rPr>
      </w:pPr>
      <w:bookmarkStart w:id="0" w:name="_GoBack"/>
      <w:bookmarkEnd w:id="0"/>
      <w:r>
        <w:rPr>
          <w:rFonts w:ascii="Times New Roman" w:hAnsi="Times New Roman" w:eastAsia="仿宋_GB2312"/>
          <w:sz w:val="30"/>
          <w:szCs w:val="30"/>
        </w:rPr>
        <w:t>经营者集中简易案件公示表</w:t>
      </w:r>
    </w:p>
    <w:p>
      <w:pPr>
        <w:spacing w:line="440" w:lineRule="exact"/>
        <w:ind w:firstLine="845" w:firstLineChars="302"/>
        <w:rPr>
          <w:rFonts w:ascii="Times New Roman" w:hAnsi="Times New Roman" w:eastAsia="仿宋_GB2312"/>
          <w:sz w:val="28"/>
          <w:szCs w:val="28"/>
        </w:rPr>
      </w:pPr>
    </w:p>
    <w:tbl>
      <w:tblPr>
        <w:tblStyle w:val="7"/>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796"/>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vAlign w:val="center"/>
          </w:tcPr>
          <w:p>
            <w:pPr>
              <w:spacing w:before="120" w:after="120"/>
              <w:jc w:val="center"/>
              <w:rPr>
                <w:rFonts w:ascii="Times New Roman" w:hAnsi="Times New Roman" w:eastAsia="仿宋_GB2312"/>
                <w:color w:val="333333"/>
                <w:kern w:val="0"/>
                <w:sz w:val="24"/>
                <w:szCs w:val="24"/>
              </w:rPr>
            </w:pPr>
            <w:r>
              <w:rPr>
                <w:rFonts w:ascii="Times New Roman" w:hAnsi="Times New Roman" w:eastAsia="仿宋_GB2312"/>
                <w:color w:val="333333"/>
                <w:kern w:val="0"/>
                <w:sz w:val="24"/>
                <w:szCs w:val="24"/>
              </w:rPr>
              <w:t>案件名称</w:t>
            </w:r>
          </w:p>
        </w:tc>
        <w:tc>
          <w:tcPr>
            <w:tcW w:w="6949" w:type="dxa"/>
            <w:gridSpan w:val="2"/>
          </w:tcPr>
          <w:p>
            <w:pPr>
              <w:spacing w:before="120" w:after="120"/>
              <w:rPr>
                <w:rFonts w:ascii="Times New Roman" w:hAnsi="Times New Roman" w:eastAsia="仿宋_GB2312"/>
                <w:color w:val="333333"/>
                <w:kern w:val="0"/>
                <w:sz w:val="24"/>
                <w:szCs w:val="24"/>
              </w:rPr>
            </w:pPr>
            <w:r>
              <w:rPr>
                <w:rFonts w:hint="eastAsia" w:ascii="Times New Roman" w:hAnsi="Times New Roman" w:eastAsia="仿宋_GB2312"/>
                <w:color w:val="333333"/>
                <w:kern w:val="0"/>
                <w:sz w:val="24"/>
                <w:szCs w:val="24"/>
              </w:rPr>
              <w:t>安徽交控资本基金管理有限公司与中金私募股权投资管理有限公司新设合伙企业案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1809" w:type="dxa"/>
            <w:shd w:val="clear" w:color="auto" w:fill="D9D9D9"/>
            <w:vAlign w:val="center"/>
          </w:tcPr>
          <w:p>
            <w:pPr>
              <w:spacing w:before="120" w:after="120"/>
              <w:jc w:val="center"/>
              <w:rPr>
                <w:rFonts w:ascii="Times New Roman" w:hAnsi="Times New Roman" w:eastAsia="仿宋_GB2312"/>
                <w:color w:val="333333"/>
                <w:kern w:val="0"/>
                <w:sz w:val="24"/>
                <w:szCs w:val="24"/>
              </w:rPr>
            </w:pPr>
            <w:r>
              <w:rPr>
                <w:rFonts w:ascii="Times New Roman" w:hAnsi="Times New Roman" w:eastAsia="仿宋_GB2312"/>
                <w:color w:val="333333"/>
                <w:kern w:val="0"/>
                <w:sz w:val="24"/>
                <w:szCs w:val="24"/>
              </w:rPr>
              <w:t>交易概况</w:t>
            </w:r>
          </w:p>
          <w:p>
            <w:pPr>
              <w:spacing w:before="120" w:after="120"/>
              <w:jc w:val="center"/>
              <w:rPr>
                <w:rFonts w:ascii="Times New Roman" w:hAnsi="Times New Roman" w:eastAsia="仿宋_GB2312"/>
                <w:color w:val="333333"/>
                <w:kern w:val="0"/>
                <w:sz w:val="24"/>
                <w:szCs w:val="24"/>
              </w:rPr>
            </w:pPr>
            <w:r>
              <w:rPr>
                <w:rFonts w:ascii="Times New Roman" w:hAnsi="Times New Roman" w:eastAsia="仿宋_GB2312"/>
                <w:color w:val="333333"/>
                <w:kern w:val="0"/>
                <w:sz w:val="24"/>
                <w:szCs w:val="24"/>
              </w:rPr>
              <w:t>（限200字内）</w:t>
            </w:r>
          </w:p>
        </w:tc>
        <w:tc>
          <w:tcPr>
            <w:tcW w:w="6949" w:type="dxa"/>
            <w:gridSpan w:val="2"/>
          </w:tcPr>
          <w:p>
            <w:pPr>
              <w:spacing w:before="120" w:after="120"/>
              <w:rPr>
                <w:rFonts w:ascii="Times New Roman" w:hAnsi="Times New Roman" w:eastAsia="仿宋_GB2312"/>
                <w:color w:val="333333"/>
                <w:kern w:val="0"/>
                <w:sz w:val="24"/>
                <w:szCs w:val="24"/>
              </w:rPr>
            </w:pPr>
            <w:r>
              <w:rPr>
                <w:rFonts w:hint="eastAsia" w:ascii="Times New Roman" w:hAnsi="Times New Roman" w:eastAsia="仿宋_GB2312"/>
                <w:color w:val="333333"/>
                <w:kern w:val="0"/>
                <w:sz w:val="24"/>
                <w:szCs w:val="24"/>
              </w:rPr>
              <w:t>中金私募股权投资管理有限公司（“中金私募”）及其关联方拟与安徽交控资本基金管理有限公司及其关联方设立一家合伙企业（“合伙企业”）。本次交易后，中金私募与安徽交控资本基金管理有限公司均为普通合伙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809" w:type="dxa"/>
            <w:vMerge w:val="restart"/>
            <w:shd w:val="clear" w:color="auto" w:fill="D9D9D9"/>
            <w:vAlign w:val="center"/>
          </w:tcPr>
          <w:p>
            <w:pPr>
              <w:spacing w:before="120" w:after="120"/>
              <w:jc w:val="center"/>
              <w:rPr>
                <w:rFonts w:ascii="Times New Roman" w:hAnsi="Times New Roman" w:eastAsia="仿宋_GB2312"/>
                <w:color w:val="333333"/>
                <w:kern w:val="0"/>
                <w:sz w:val="24"/>
                <w:szCs w:val="24"/>
              </w:rPr>
            </w:pPr>
            <w:r>
              <w:rPr>
                <w:rFonts w:ascii="Times New Roman" w:hAnsi="Times New Roman" w:eastAsia="仿宋_GB2312"/>
                <w:color w:val="333333"/>
                <w:kern w:val="0"/>
                <w:sz w:val="24"/>
                <w:szCs w:val="24"/>
              </w:rPr>
              <w:t>参与集中的</w:t>
            </w:r>
          </w:p>
          <w:p>
            <w:pPr>
              <w:spacing w:before="120" w:after="120"/>
              <w:jc w:val="center"/>
              <w:rPr>
                <w:rFonts w:ascii="Times New Roman" w:hAnsi="Times New Roman" w:eastAsia="仿宋_GB2312"/>
                <w:color w:val="333333"/>
                <w:kern w:val="0"/>
                <w:sz w:val="24"/>
                <w:szCs w:val="24"/>
              </w:rPr>
            </w:pPr>
            <w:r>
              <w:rPr>
                <w:rFonts w:ascii="Times New Roman" w:hAnsi="Times New Roman" w:eastAsia="仿宋_GB2312"/>
                <w:color w:val="333333"/>
                <w:kern w:val="0"/>
                <w:sz w:val="24"/>
                <w:szCs w:val="24"/>
              </w:rPr>
              <w:t>经营者简介</w:t>
            </w:r>
          </w:p>
        </w:tc>
        <w:tc>
          <w:tcPr>
            <w:tcW w:w="1796" w:type="dxa"/>
          </w:tcPr>
          <w:p>
            <w:pPr>
              <w:spacing w:before="120" w:after="120"/>
              <w:rPr>
                <w:rFonts w:ascii="Times New Roman" w:hAnsi="Times New Roman" w:eastAsia="仿宋_GB2312"/>
                <w:color w:val="333333"/>
                <w:kern w:val="0"/>
                <w:sz w:val="24"/>
                <w:szCs w:val="24"/>
              </w:rPr>
            </w:pPr>
            <w:r>
              <w:rPr>
                <w:rFonts w:ascii="Times New Roman" w:hAnsi="Times New Roman" w:eastAsia="仿宋_GB2312"/>
                <w:color w:val="333333"/>
                <w:kern w:val="0"/>
                <w:sz w:val="24"/>
                <w:szCs w:val="24"/>
              </w:rPr>
              <w:t>1、</w:t>
            </w:r>
            <w:r>
              <w:rPr>
                <w:rFonts w:hint="eastAsia" w:ascii="Times New Roman" w:hAnsi="Times New Roman" w:eastAsia="仿宋_GB2312"/>
                <w:color w:val="333333"/>
                <w:kern w:val="0"/>
                <w:sz w:val="24"/>
                <w:szCs w:val="24"/>
              </w:rPr>
              <w:t>中金私募</w:t>
            </w:r>
          </w:p>
        </w:tc>
        <w:tc>
          <w:tcPr>
            <w:tcW w:w="5153" w:type="dxa"/>
          </w:tcPr>
          <w:p>
            <w:pPr>
              <w:spacing w:before="120" w:after="120"/>
              <w:rPr>
                <w:rFonts w:ascii="Times New Roman" w:hAnsi="Times New Roman" w:eastAsia="仿宋_GB2312"/>
                <w:color w:val="333333"/>
                <w:kern w:val="0"/>
                <w:sz w:val="24"/>
                <w:szCs w:val="24"/>
              </w:rPr>
            </w:pPr>
            <w:r>
              <w:rPr>
                <w:rFonts w:hint="eastAsia" w:ascii="Times New Roman" w:hAnsi="Times New Roman" w:eastAsia="仿宋_GB2312"/>
                <w:bCs/>
                <w:color w:val="333333"/>
                <w:kern w:val="0"/>
                <w:sz w:val="24"/>
                <w:szCs w:val="24"/>
              </w:rPr>
              <w:t>中金私募是中国国际金融股份有限公司旗下的股权投资管理平台，从事股权投资管理，投资管理，资产管理，投资咨询业务。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809" w:type="dxa"/>
            <w:vMerge w:val="continue"/>
            <w:shd w:val="clear" w:color="auto" w:fill="D9D9D9"/>
            <w:vAlign w:val="center"/>
          </w:tcPr>
          <w:p>
            <w:pPr>
              <w:spacing w:before="120" w:after="120"/>
              <w:jc w:val="center"/>
              <w:rPr>
                <w:rFonts w:ascii="Times New Roman" w:hAnsi="Times New Roman" w:eastAsia="仿宋_GB2312"/>
                <w:color w:val="333333"/>
                <w:kern w:val="0"/>
                <w:sz w:val="24"/>
                <w:szCs w:val="24"/>
              </w:rPr>
            </w:pPr>
          </w:p>
        </w:tc>
        <w:tc>
          <w:tcPr>
            <w:tcW w:w="1796" w:type="dxa"/>
          </w:tcPr>
          <w:p>
            <w:pPr>
              <w:spacing w:before="120" w:after="120"/>
              <w:rPr>
                <w:rFonts w:ascii="Times New Roman" w:hAnsi="Times New Roman" w:eastAsia="仿宋_GB2312"/>
                <w:color w:val="333333"/>
                <w:kern w:val="0"/>
                <w:sz w:val="24"/>
                <w:szCs w:val="24"/>
              </w:rPr>
            </w:pPr>
            <w:r>
              <w:rPr>
                <w:rFonts w:ascii="Times New Roman" w:hAnsi="Times New Roman" w:eastAsia="仿宋_GB2312"/>
                <w:color w:val="333333"/>
                <w:kern w:val="0"/>
                <w:sz w:val="24"/>
                <w:szCs w:val="24"/>
              </w:rPr>
              <w:t>2、</w:t>
            </w:r>
            <w:r>
              <w:rPr>
                <w:rFonts w:hint="eastAsia" w:ascii="Times New Roman" w:hAnsi="Times New Roman" w:eastAsia="仿宋_GB2312"/>
                <w:color w:val="333333"/>
                <w:kern w:val="0"/>
                <w:sz w:val="24"/>
                <w:szCs w:val="24"/>
              </w:rPr>
              <w:t>安徽交控资本基金管理有限公司</w:t>
            </w:r>
          </w:p>
        </w:tc>
        <w:tc>
          <w:tcPr>
            <w:tcW w:w="5153" w:type="dxa"/>
          </w:tcPr>
          <w:p>
            <w:pPr>
              <w:spacing w:before="120" w:after="120"/>
              <w:rPr>
                <w:rFonts w:ascii="Times New Roman" w:hAnsi="Times New Roman" w:eastAsia="仿宋_GB2312"/>
                <w:color w:val="333333"/>
                <w:kern w:val="0"/>
                <w:sz w:val="24"/>
                <w:szCs w:val="24"/>
              </w:rPr>
            </w:pPr>
            <w:r>
              <w:rPr>
                <w:rFonts w:hint="eastAsia" w:ascii="Times New Roman" w:hAnsi="Times New Roman" w:eastAsia="仿宋_GB2312"/>
                <w:color w:val="333333"/>
                <w:kern w:val="0"/>
                <w:sz w:val="24"/>
                <w:szCs w:val="24"/>
              </w:rPr>
              <w:t>安徽交控资本基金管理有限公司在中国境内从事直投基金管理或与股权投资相关的其他投资基金管理；为客户提供与股权投资相关的投资顾问、投资管理服务。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809" w:type="dxa"/>
            <w:vMerge w:val="restart"/>
            <w:shd w:val="clear" w:color="auto" w:fill="D9D9D9"/>
            <w:vAlign w:val="center"/>
          </w:tcPr>
          <w:p>
            <w:pPr>
              <w:spacing w:before="120" w:after="120"/>
              <w:jc w:val="center"/>
              <w:rPr>
                <w:rFonts w:ascii="Times New Roman" w:hAnsi="Times New Roman" w:eastAsia="仿宋_GB2312"/>
                <w:color w:val="333333"/>
                <w:kern w:val="0"/>
                <w:sz w:val="24"/>
                <w:szCs w:val="24"/>
              </w:rPr>
            </w:pPr>
            <w:r>
              <w:rPr>
                <w:rFonts w:ascii="Times New Roman" w:hAnsi="Times New Roman" w:eastAsia="仿宋_GB2312"/>
                <w:color w:val="333333"/>
                <w:kern w:val="0"/>
                <w:sz w:val="24"/>
                <w:szCs w:val="24"/>
              </w:rPr>
              <w:t>简易案件理由（可以单选，也可以多选）</w:t>
            </w:r>
          </w:p>
        </w:tc>
        <w:tc>
          <w:tcPr>
            <w:tcW w:w="6949" w:type="dxa"/>
            <w:gridSpan w:val="2"/>
          </w:tcPr>
          <w:p>
            <w:pPr>
              <w:spacing w:before="120" w:after="120"/>
              <w:rPr>
                <w:rFonts w:ascii="Times New Roman" w:hAnsi="Times New Roman" w:eastAsia="仿宋_GB2312"/>
                <w:color w:val="333333"/>
                <w:kern w:val="0"/>
                <w:sz w:val="24"/>
                <w:szCs w:val="24"/>
              </w:rPr>
            </w:pPr>
            <w:r>
              <w:rPr>
                <w:rFonts w:ascii="Times New Roman" w:hAnsi="Times New Roman" w:eastAsia="仿宋_GB2312"/>
                <w:color w:val="333333"/>
                <w:kern w:val="0"/>
                <w:sz w:val="24"/>
                <w:szCs w:val="24"/>
              </w:rPr>
              <w:sym w:font="Wingdings" w:char="F0FE"/>
            </w:r>
            <w:r>
              <w:rPr>
                <w:rFonts w:ascii="Times New Roman" w:hAnsi="Times New Roman" w:eastAsia="仿宋_GB2312"/>
                <w:color w:val="333333"/>
                <w:kern w:val="0"/>
                <w:sz w:val="24"/>
                <w:szCs w:val="24"/>
              </w:rPr>
              <w:t>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9" w:type="dxa"/>
            <w:vMerge w:val="continue"/>
            <w:shd w:val="clear" w:color="auto" w:fill="D9D9D9"/>
            <w:vAlign w:val="center"/>
          </w:tcPr>
          <w:p>
            <w:pPr>
              <w:spacing w:before="120" w:after="120"/>
              <w:jc w:val="center"/>
              <w:rPr>
                <w:rFonts w:ascii="Times New Roman" w:hAnsi="Times New Roman" w:eastAsia="仿宋_GB2312"/>
                <w:color w:val="333333"/>
                <w:kern w:val="0"/>
                <w:sz w:val="24"/>
                <w:szCs w:val="24"/>
              </w:rPr>
            </w:pPr>
          </w:p>
        </w:tc>
        <w:tc>
          <w:tcPr>
            <w:tcW w:w="6949" w:type="dxa"/>
            <w:gridSpan w:val="2"/>
          </w:tcPr>
          <w:p>
            <w:pPr>
              <w:spacing w:before="120" w:after="120"/>
              <w:rPr>
                <w:rFonts w:ascii="Times New Roman" w:hAnsi="Times New Roman" w:eastAsia="仿宋_GB2312"/>
                <w:color w:val="333333"/>
                <w:kern w:val="0"/>
                <w:sz w:val="24"/>
                <w:szCs w:val="24"/>
              </w:rPr>
            </w:pPr>
            <w:r>
              <w:rPr>
                <w:rFonts w:ascii="Times New Roman" w:hAnsi="Times New Roman" w:eastAsia="仿宋_GB2312"/>
                <w:color w:val="333333"/>
                <w:kern w:val="0"/>
                <w:sz w:val="24"/>
                <w:szCs w:val="24"/>
              </w:rPr>
              <w:t>□2.存在上下游关系的参与集中的经营者，在上下游市场所占的市场份额均小于25%。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09" w:type="dxa"/>
            <w:vMerge w:val="continue"/>
            <w:shd w:val="clear" w:color="auto" w:fill="D9D9D9"/>
            <w:vAlign w:val="center"/>
          </w:tcPr>
          <w:p>
            <w:pPr>
              <w:spacing w:before="120" w:after="120"/>
              <w:jc w:val="center"/>
              <w:rPr>
                <w:rFonts w:ascii="Times New Roman" w:hAnsi="Times New Roman" w:eastAsia="仿宋_GB2312"/>
                <w:color w:val="333333"/>
                <w:kern w:val="0"/>
                <w:sz w:val="24"/>
                <w:szCs w:val="24"/>
              </w:rPr>
            </w:pPr>
          </w:p>
        </w:tc>
        <w:tc>
          <w:tcPr>
            <w:tcW w:w="6949" w:type="dxa"/>
            <w:gridSpan w:val="2"/>
          </w:tcPr>
          <w:p>
            <w:pPr>
              <w:spacing w:before="120" w:after="120"/>
              <w:rPr>
                <w:rFonts w:ascii="Times New Roman" w:hAnsi="Times New Roman" w:eastAsia="仿宋_GB2312"/>
                <w:color w:val="333333"/>
                <w:kern w:val="0"/>
                <w:sz w:val="24"/>
                <w:szCs w:val="24"/>
              </w:rPr>
            </w:pPr>
            <w:r>
              <w:rPr>
                <w:rFonts w:ascii="Times New Roman" w:hAnsi="Times New Roman" w:eastAsia="仿宋_GB2312"/>
                <w:color w:val="333333"/>
                <w:kern w:val="0"/>
                <w:sz w:val="24"/>
                <w:szCs w:val="24"/>
              </w:rPr>
              <w:t>□3.不在同一相关市场、也不存在上下游关系的参与集中的经营者，在与交易有关的每个市场所占的份额均小于25%。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809" w:type="dxa"/>
            <w:vMerge w:val="continue"/>
            <w:shd w:val="clear" w:color="auto" w:fill="D9D9D9"/>
            <w:vAlign w:val="center"/>
          </w:tcPr>
          <w:p>
            <w:pPr>
              <w:spacing w:before="120" w:after="120"/>
              <w:jc w:val="center"/>
              <w:rPr>
                <w:rFonts w:ascii="Times New Roman" w:hAnsi="Times New Roman" w:eastAsia="仿宋_GB2312"/>
                <w:color w:val="333333"/>
                <w:kern w:val="0"/>
                <w:sz w:val="24"/>
                <w:szCs w:val="24"/>
              </w:rPr>
            </w:pPr>
          </w:p>
        </w:tc>
        <w:tc>
          <w:tcPr>
            <w:tcW w:w="6949" w:type="dxa"/>
            <w:gridSpan w:val="2"/>
          </w:tcPr>
          <w:p>
            <w:pPr>
              <w:spacing w:before="120" w:after="120"/>
              <w:rPr>
                <w:rFonts w:ascii="Times New Roman" w:hAnsi="Times New Roman" w:eastAsia="仿宋_GB2312"/>
                <w:color w:val="333333"/>
                <w:kern w:val="0"/>
                <w:sz w:val="24"/>
                <w:szCs w:val="24"/>
              </w:rPr>
            </w:pPr>
            <w:r>
              <w:rPr>
                <w:rFonts w:ascii="Times New Roman" w:hAnsi="Times New Roman" w:eastAsia="仿宋_GB2312"/>
                <w:color w:val="333333"/>
                <w:kern w:val="0"/>
                <w:sz w:val="24"/>
                <w:szCs w:val="24"/>
              </w:rPr>
              <w:t>□4.参与集中的经营者在中国境外设立合营企业，合营企业不在中国境内从事经济活动。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809" w:type="dxa"/>
            <w:vMerge w:val="continue"/>
            <w:shd w:val="clear" w:color="auto" w:fill="D9D9D9"/>
            <w:vAlign w:val="center"/>
          </w:tcPr>
          <w:p>
            <w:pPr>
              <w:spacing w:before="120" w:after="120"/>
              <w:jc w:val="center"/>
              <w:rPr>
                <w:rFonts w:ascii="Times New Roman" w:hAnsi="Times New Roman" w:eastAsia="仿宋_GB2312"/>
                <w:color w:val="333333"/>
                <w:kern w:val="0"/>
                <w:sz w:val="24"/>
                <w:szCs w:val="24"/>
              </w:rPr>
            </w:pPr>
          </w:p>
        </w:tc>
        <w:tc>
          <w:tcPr>
            <w:tcW w:w="6949" w:type="dxa"/>
            <w:gridSpan w:val="2"/>
          </w:tcPr>
          <w:p>
            <w:pPr>
              <w:spacing w:before="120" w:after="120"/>
              <w:rPr>
                <w:rFonts w:ascii="Times New Roman" w:hAnsi="Times New Roman" w:eastAsia="仿宋_GB2312"/>
                <w:color w:val="333333"/>
                <w:kern w:val="0"/>
                <w:sz w:val="24"/>
                <w:szCs w:val="24"/>
              </w:rPr>
            </w:pPr>
            <w:r>
              <w:rPr>
                <w:rFonts w:ascii="Times New Roman" w:hAnsi="Times New Roman" w:eastAsia="仿宋_GB2312"/>
                <w:color w:val="333333"/>
                <w:kern w:val="0"/>
                <w:sz w:val="24"/>
                <w:szCs w:val="24"/>
              </w:rPr>
              <w:t>□5.参与集中的经营者收购境外企业股权或资产的，该境外企业不在中国境内从事经济活动。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809" w:type="dxa"/>
            <w:vMerge w:val="continue"/>
            <w:shd w:val="clear" w:color="auto" w:fill="D9D9D9"/>
            <w:vAlign w:val="center"/>
          </w:tcPr>
          <w:p>
            <w:pPr>
              <w:spacing w:before="120" w:after="120"/>
              <w:jc w:val="center"/>
              <w:rPr>
                <w:rFonts w:ascii="Times New Roman" w:hAnsi="Times New Roman" w:eastAsia="仿宋_GB2312"/>
                <w:color w:val="333333"/>
                <w:kern w:val="0"/>
                <w:sz w:val="24"/>
                <w:szCs w:val="24"/>
              </w:rPr>
            </w:pPr>
          </w:p>
        </w:tc>
        <w:tc>
          <w:tcPr>
            <w:tcW w:w="6949" w:type="dxa"/>
            <w:gridSpan w:val="2"/>
          </w:tcPr>
          <w:p>
            <w:pPr>
              <w:spacing w:before="120" w:after="120"/>
              <w:rPr>
                <w:rFonts w:ascii="Times New Roman" w:hAnsi="Times New Roman" w:eastAsia="仿宋_GB2312"/>
                <w:color w:val="333333"/>
                <w:kern w:val="0"/>
                <w:sz w:val="24"/>
                <w:szCs w:val="24"/>
              </w:rPr>
            </w:pPr>
            <w:r>
              <w:rPr>
                <w:rFonts w:ascii="Times New Roman" w:hAnsi="Times New Roman" w:eastAsia="仿宋_GB2312"/>
                <w:color w:val="333333"/>
                <w:kern w:val="0"/>
                <w:sz w:val="24"/>
                <w:szCs w:val="24"/>
              </w:rPr>
              <w:t>□6.由两个以上的经营者共同控制的合营企业，通过集中被其中一个或一个以上经营者控制。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vAlign w:val="center"/>
          </w:tcPr>
          <w:p>
            <w:pPr>
              <w:spacing w:before="120" w:after="120"/>
              <w:jc w:val="center"/>
              <w:rPr>
                <w:rFonts w:ascii="Times New Roman" w:hAnsi="Times New Roman" w:eastAsia="仿宋_GB2312"/>
                <w:color w:val="333333"/>
                <w:kern w:val="0"/>
                <w:sz w:val="24"/>
                <w:szCs w:val="24"/>
              </w:rPr>
            </w:pPr>
            <w:r>
              <w:rPr>
                <w:rFonts w:ascii="Times New Roman" w:hAnsi="Times New Roman" w:eastAsia="仿宋_GB2312"/>
                <w:color w:val="333333"/>
                <w:kern w:val="0"/>
                <w:sz w:val="24"/>
                <w:szCs w:val="24"/>
              </w:rPr>
              <w:t>备注</w:t>
            </w:r>
          </w:p>
        </w:tc>
        <w:tc>
          <w:tcPr>
            <w:tcW w:w="6949" w:type="dxa"/>
            <w:gridSpan w:val="2"/>
          </w:tcPr>
          <w:p>
            <w:pPr>
              <w:pStyle w:val="12"/>
              <w:snapToGrid w:val="0"/>
              <w:spacing w:before="156" w:beforeLines="50" w:after="156" w:afterLines="50" w:line="240" w:lineRule="auto"/>
              <w:jc w:val="left"/>
              <w:rPr>
                <w:rFonts w:ascii="Times New Roman" w:hAnsi="Times New Roman" w:eastAsia="仿宋_GB2312"/>
                <w:kern w:val="0"/>
                <w:sz w:val="24"/>
                <w:lang w:eastAsia="zh-CN" w:bidi="ar-AE"/>
              </w:rPr>
            </w:pPr>
            <w:r>
              <w:rPr>
                <w:rFonts w:hint="eastAsia" w:ascii="Times New Roman" w:hAnsi="Times New Roman" w:eastAsia="仿宋_GB2312"/>
                <w:b/>
                <w:bCs/>
                <w:kern w:val="0"/>
                <w:sz w:val="24"/>
                <w:lang w:eastAsia="zh-CN" w:bidi="ar-AE"/>
              </w:rPr>
              <w:t>相关市场</w:t>
            </w:r>
            <w:r>
              <w:rPr>
                <w:rFonts w:hint="eastAsia" w:ascii="Times New Roman" w:hAnsi="Times New Roman" w:eastAsia="仿宋_GB2312"/>
                <w:kern w:val="0"/>
                <w:sz w:val="24"/>
                <w:lang w:eastAsia="zh-CN" w:bidi="ar-AE"/>
              </w:rPr>
              <w:t>：中国境内私募股权投资基金管理市场</w:t>
            </w:r>
          </w:p>
          <w:p>
            <w:pPr>
              <w:pStyle w:val="12"/>
              <w:snapToGrid w:val="0"/>
              <w:spacing w:before="156" w:beforeLines="50" w:after="156" w:afterLines="50" w:line="240" w:lineRule="auto"/>
              <w:jc w:val="left"/>
              <w:rPr>
                <w:rFonts w:ascii="Times New Roman" w:hAnsi="Times New Roman" w:eastAsia="仿宋_GB2312"/>
                <w:b/>
                <w:bCs/>
                <w:kern w:val="0"/>
                <w:sz w:val="24"/>
                <w:lang w:eastAsia="zh-CN" w:bidi="ar-AE"/>
              </w:rPr>
            </w:pPr>
            <w:r>
              <w:rPr>
                <w:rFonts w:hint="eastAsia" w:ascii="Times New Roman" w:hAnsi="Times New Roman" w:eastAsia="仿宋_GB2312"/>
                <w:b/>
                <w:bCs/>
                <w:kern w:val="0"/>
                <w:sz w:val="24"/>
                <w:lang w:eastAsia="zh-CN" w:bidi="ar-AE"/>
              </w:rPr>
              <w:t>相关市场的市场份额</w:t>
            </w:r>
          </w:p>
          <w:p>
            <w:pPr>
              <w:pStyle w:val="12"/>
              <w:snapToGrid w:val="0"/>
              <w:spacing w:before="156" w:beforeLines="50" w:after="156" w:afterLines="50" w:line="240" w:lineRule="auto"/>
              <w:jc w:val="left"/>
              <w:rPr>
                <w:rFonts w:ascii="Times New Roman" w:hAnsi="Times New Roman" w:eastAsia="仿宋_GB2312"/>
                <w:kern w:val="0"/>
                <w:sz w:val="24"/>
                <w:lang w:eastAsia="zh-CN" w:bidi="ar-AE"/>
              </w:rPr>
            </w:pPr>
            <w:r>
              <w:rPr>
                <w:rFonts w:hint="eastAsia" w:ascii="Times New Roman" w:hAnsi="Times New Roman" w:eastAsia="仿宋_GB2312"/>
                <w:kern w:val="0"/>
                <w:sz w:val="24"/>
                <w:lang w:eastAsia="zh-CN" w:bidi="ar-AE"/>
              </w:rPr>
              <w:t>中国境内私募股权投资基金管理市场</w:t>
            </w:r>
          </w:p>
          <w:p>
            <w:pPr>
              <w:pStyle w:val="12"/>
              <w:snapToGrid w:val="0"/>
              <w:spacing w:before="156" w:beforeLines="50" w:after="156" w:afterLines="50" w:line="240" w:lineRule="auto"/>
              <w:jc w:val="left"/>
              <w:rPr>
                <w:rFonts w:ascii="Times New Roman" w:hAnsi="Times New Roman" w:eastAsia="仿宋_GB2312"/>
                <w:kern w:val="0"/>
                <w:sz w:val="24"/>
                <w:lang w:eastAsia="zh-CN" w:bidi="ar-AE"/>
              </w:rPr>
            </w:pPr>
            <w:r>
              <w:rPr>
                <w:rFonts w:hint="eastAsia" w:ascii="Times New Roman" w:hAnsi="Times New Roman" w:eastAsia="仿宋_GB2312"/>
                <w:kern w:val="0"/>
                <w:sz w:val="24"/>
                <w:lang w:eastAsia="zh-CN" w:bidi="ar-AE"/>
              </w:rPr>
              <w:t>中金私募：[</w:t>
            </w:r>
            <w:r>
              <w:rPr>
                <w:rFonts w:ascii="Times New Roman" w:hAnsi="Times New Roman" w:eastAsia="仿宋_GB2312"/>
                <w:kern w:val="0"/>
                <w:sz w:val="24"/>
                <w:lang w:eastAsia="zh-CN" w:bidi="ar-AE"/>
              </w:rPr>
              <w:t>0</w:t>
            </w:r>
            <w:r>
              <w:rPr>
                <w:rFonts w:hint="eastAsia" w:ascii="Times New Roman" w:hAnsi="Times New Roman" w:eastAsia="仿宋_GB2312"/>
                <w:kern w:val="0"/>
                <w:sz w:val="24"/>
                <w:lang w:eastAsia="zh-CN" w:bidi="ar-AE"/>
              </w:rPr>
              <w:t>-</w:t>
            </w:r>
            <w:r>
              <w:rPr>
                <w:rFonts w:ascii="Times New Roman" w:hAnsi="Times New Roman" w:eastAsia="仿宋_GB2312"/>
                <w:kern w:val="0"/>
                <w:sz w:val="24"/>
                <w:lang w:eastAsia="zh-CN" w:bidi="ar-AE"/>
              </w:rPr>
              <w:t>5]</w:t>
            </w:r>
            <w:r>
              <w:rPr>
                <w:rFonts w:hint="eastAsia" w:ascii="Times New Roman" w:hAnsi="Times New Roman" w:eastAsia="仿宋_GB2312"/>
                <w:kern w:val="0"/>
                <w:sz w:val="24"/>
                <w:lang w:eastAsia="zh-CN" w:bidi="ar-AE"/>
              </w:rPr>
              <w:t>%</w:t>
            </w:r>
          </w:p>
          <w:p>
            <w:pPr>
              <w:pStyle w:val="12"/>
              <w:snapToGrid w:val="0"/>
              <w:spacing w:before="156" w:beforeLines="50" w:after="156" w:afterLines="50" w:line="240" w:lineRule="auto"/>
              <w:jc w:val="left"/>
              <w:rPr>
                <w:rFonts w:ascii="Times New Roman" w:hAnsi="Times New Roman" w:eastAsia="仿宋_GB2312"/>
                <w:kern w:val="0"/>
                <w:sz w:val="24"/>
                <w:lang w:eastAsia="zh-CN" w:bidi="ar-AE"/>
              </w:rPr>
            </w:pPr>
            <w:r>
              <w:rPr>
                <w:rFonts w:hint="eastAsia" w:ascii="Times New Roman" w:hAnsi="Times New Roman" w:eastAsia="仿宋_GB2312"/>
                <w:kern w:val="0"/>
                <w:sz w:val="24"/>
                <w:lang w:eastAsia="zh-CN" w:bidi="ar-AE"/>
              </w:rPr>
              <w:t>安徽交控资本基金管理有限公司：[</w:t>
            </w:r>
            <w:r>
              <w:rPr>
                <w:rFonts w:ascii="Times New Roman" w:hAnsi="Times New Roman" w:eastAsia="仿宋_GB2312"/>
                <w:kern w:val="0"/>
                <w:sz w:val="24"/>
                <w:lang w:eastAsia="zh-CN" w:bidi="ar-AE"/>
              </w:rPr>
              <w:t>0</w:t>
            </w:r>
            <w:r>
              <w:rPr>
                <w:rFonts w:hint="eastAsia" w:ascii="Times New Roman" w:hAnsi="Times New Roman" w:eastAsia="仿宋_GB2312"/>
                <w:kern w:val="0"/>
                <w:sz w:val="24"/>
                <w:lang w:eastAsia="zh-CN" w:bidi="ar-AE"/>
              </w:rPr>
              <w:t>-</w:t>
            </w:r>
            <w:r>
              <w:rPr>
                <w:rFonts w:ascii="Times New Roman" w:hAnsi="Times New Roman" w:eastAsia="仿宋_GB2312"/>
                <w:kern w:val="0"/>
                <w:sz w:val="24"/>
                <w:lang w:eastAsia="zh-CN" w:bidi="ar-AE"/>
              </w:rPr>
              <w:t>5]</w:t>
            </w:r>
            <w:r>
              <w:rPr>
                <w:rFonts w:hint="eastAsia" w:ascii="Times New Roman" w:hAnsi="Times New Roman" w:eastAsia="仿宋_GB2312"/>
                <w:kern w:val="0"/>
                <w:sz w:val="24"/>
                <w:lang w:eastAsia="zh-CN" w:bidi="ar-AE"/>
              </w:rPr>
              <w:t>%</w:t>
            </w:r>
          </w:p>
        </w:tc>
      </w:tr>
    </w:tbl>
    <w:p>
      <w:pPr>
        <w:snapToGrid w:val="0"/>
        <w:spacing w:line="240" w:lineRule="exact"/>
        <w:jc w:val="left"/>
        <w:rPr>
          <w:rFonts w:ascii="Times New Roman" w:hAnsi="Times New Roman" w:eastAsia="仿宋_GB2312"/>
          <w:sz w:val="24"/>
          <w:szCs w:val="24"/>
        </w:rPr>
      </w:pPr>
    </w:p>
    <w:p>
      <w:pPr>
        <w:snapToGrid w:val="0"/>
        <w:spacing w:line="240" w:lineRule="exact"/>
        <w:jc w:val="left"/>
        <w:rPr>
          <w:rFonts w:ascii="Times New Roman" w:hAnsi="Times New Roman" w:eastAsia="仿宋_GB2312"/>
          <w:sz w:val="24"/>
          <w:szCs w:val="24"/>
        </w:rPr>
      </w:pPr>
      <w:r>
        <w:rPr>
          <w:rFonts w:ascii="Times New Roman" w:hAnsi="Times New Roman" w:eastAsia="仿宋_GB2312"/>
          <w:sz w:val="24"/>
          <w:szCs w:val="24"/>
        </w:rPr>
        <w:t>注解：</w:t>
      </w:r>
    </w:p>
    <w:p>
      <w:pPr>
        <w:snapToGrid w:val="0"/>
        <w:spacing w:line="360" w:lineRule="auto"/>
        <w:ind w:firstLine="480" w:firstLineChars="200"/>
        <w:jc w:val="left"/>
        <w:rPr>
          <w:rFonts w:ascii="Times New Roman" w:hAnsi="Times New Roman" w:eastAsia="仿宋_GB2312"/>
          <w:sz w:val="24"/>
          <w:szCs w:val="24"/>
        </w:rPr>
      </w:pPr>
      <w:r>
        <w:rPr>
          <w:rFonts w:ascii="Times New Roman" w:hAnsi="Times New Roman" w:eastAsia="仿宋_GB2312"/>
          <w:sz w:val="24"/>
          <w:szCs w:val="24"/>
        </w:rPr>
        <w:t>1.申报方申请简易案件的理由是基于1-3项时，须在备注中说明界定的相关商品市场和相关地域市场（无须阐述界定理由），以及相关市场份额；市场份额可以区间形式提供，区间幅度不应超过5%。1-3项可以多选，也可单选；没有勾选的，视为本集中不涉及该类型交易。</w:t>
      </w:r>
    </w:p>
    <w:p>
      <w:pPr>
        <w:spacing w:line="360" w:lineRule="auto"/>
        <w:ind w:firstLine="480" w:firstLineChars="200"/>
        <w:rPr>
          <w:rFonts w:ascii="Times New Roman" w:hAnsi="Times New Roman" w:eastAsia="仿宋_GB2312"/>
          <w:sz w:val="28"/>
          <w:szCs w:val="28"/>
        </w:rPr>
      </w:pPr>
      <w:r>
        <w:rPr>
          <w:rFonts w:ascii="Times New Roman" w:hAnsi="Times New Roman" w:eastAsia="仿宋_GB2312"/>
          <w:sz w:val="24"/>
          <w:szCs w:val="24"/>
        </w:rPr>
        <w:t>2.申报方申请简易案件的理由是基于第4项、第5项时，无须在备注中说明相关市场和市场份额。</w:t>
      </w:r>
      <w:r>
        <w:rPr>
          <w:rFonts w:ascii="Times New Roman" w:hAnsi="Times New Roman" w:eastAsia="仿宋_GB2312"/>
          <w:sz w:val="24"/>
          <w:szCs w:val="24"/>
        </w:rPr>
        <w:br w:type="textWrapping"/>
      </w:r>
      <w:r>
        <w:rPr>
          <w:rFonts w:ascii="Times New Roman" w:hAnsi="Times New Roman" w:eastAsia="仿宋_GB2312"/>
          <w:sz w:val="24"/>
          <w:szCs w:val="24"/>
        </w:rPr>
        <w:t xml:space="preserve">    3.由两个或两个以上经营者共同控制的合营企业，通过集中被其中的一个经营者控制，如果该经营者与合营企业属于同一相关市场的竞争者，则申报方在申请简易案件时，须同时勾选第1项和第6项理由，并在备注中说明界定的相关商品市场和相关地域市场（无须阐述界定理由），以及相关市场份额。市场份额可以区间形式提供，区间幅度不应超过5%。</w:t>
      </w:r>
    </w:p>
    <w:p>
      <w:pPr>
        <w:rPr>
          <w:rFonts w:ascii="Times New Roman" w:hAnsi="Times New Roman" w:eastAsia="仿宋_GB2312"/>
        </w:rPr>
      </w:pPr>
    </w:p>
    <w:p>
      <w:pPr>
        <w:rPr>
          <w:rFonts w:ascii="Times New Roman" w:hAnsi="Times New Roman" w:eastAsia="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w:altName w:val="Times New Roman"/>
    <w:panose1 w:val="020B0604020202020204"/>
    <w:charset w:val="00"/>
    <w:family w:val="swiss"/>
    <w:pitch w:val="default"/>
    <w:sig w:usb0="00000000" w:usb1="00000000" w:usb2="00000009" w:usb3="00000000" w:csb0="000001FF" w:csb1="00000000"/>
  </w:font>
  <w:font w:name="Microsoft YaHei UI">
    <w:altName w:val="Droid Sans Fallback"/>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1"/>
  <w:removePersonalInformation/>
  <w:bordersDoNotSurroundHeader w:val="true"/>
  <w:bordersDoNotSurroundFooter w:val="true"/>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DF"/>
    <w:rsid w:val="00020649"/>
    <w:rsid w:val="0002654C"/>
    <w:rsid w:val="000336C9"/>
    <w:rsid w:val="00037065"/>
    <w:rsid w:val="00041633"/>
    <w:rsid w:val="0006686C"/>
    <w:rsid w:val="00076B84"/>
    <w:rsid w:val="000948F8"/>
    <w:rsid w:val="000B39A2"/>
    <w:rsid w:val="000C3111"/>
    <w:rsid w:val="000D7EBA"/>
    <w:rsid w:val="000E242B"/>
    <w:rsid w:val="000F4CA6"/>
    <w:rsid w:val="001164CD"/>
    <w:rsid w:val="00136766"/>
    <w:rsid w:val="001507E4"/>
    <w:rsid w:val="00155717"/>
    <w:rsid w:val="001837A3"/>
    <w:rsid w:val="001A5868"/>
    <w:rsid w:val="001B700D"/>
    <w:rsid w:val="001D2298"/>
    <w:rsid w:val="001E1F73"/>
    <w:rsid w:val="001F0CFA"/>
    <w:rsid w:val="00245A34"/>
    <w:rsid w:val="00253265"/>
    <w:rsid w:val="00263334"/>
    <w:rsid w:val="002965D2"/>
    <w:rsid w:val="002A0E10"/>
    <w:rsid w:val="002B6AF9"/>
    <w:rsid w:val="002E40B6"/>
    <w:rsid w:val="002E533C"/>
    <w:rsid w:val="002F0A05"/>
    <w:rsid w:val="002F3C55"/>
    <w:rsid w:val="003526F9"/>
    <w:rsid w:val="00353DC0"/>
    <w:rsid w:val="003C0AEB"/>
    <w:rsid w:val="003C103F"/>
    <w:rsid w:val="003C4AC5"/>
    <w:rsid w:val="003D6E18"/>
    <w:rsid w:val="004049FF"/>
    <w:rsid w:val="00407F92"/>
    <w:rsid w:val="00421325"/>
    <w:rsid w:val="00431063"/>
    <w:rsid w:val="00454E30"/>
    <w:rsid w:val="00465112"/>
    <w:rsid w:val="0047102F"/>
    <w:rsid w:val="004D3264"/>
    <w:rsid w:val="004D370D"/>
    <w:rsid w:val="004F104A"/>
    <w:rsid w:val="004F7688"/>
    <w:rsid w:val="005216AA"/>
    <w:rsid w:val="005306AA"/>
    <w:rsid w:val="00547332"/>
    <w:rsid w:val="00584B85"/>
    <w:rsid w:val="005C0EEB"/>
    <w:rsid w:val="005C42B9"/>
    <w:rsid w:val="005E48C6"/>
    <w:rsid w:val="005F69F9"/>
    <w:rsid w:val="005F7463"/>
    <w:rsid w:val="00621DDE"/>
    <w:rsid w:val="00626E7C"/>
    <w:rsid w:val="006274F2"/>
    <w:rsid w:val="006467D8"/>
    <w:rsid w:val="006531FE"/>
    <w:rsid w:val="006755FE"/>
    <w:rsid w:val="00685AA4"/>
    <w:rsid w:val="00693C03"/>
    <w:rsid w:val="006A531B"/>
    <w:rsid w:val="006A590B"/>
    <w:rsid w:val="006D49CC"/>
    <w:rsid w:val="006F2C93"/>
    <w:rsid w:val="006F7693"/>
    <w:rsid w:val="007064AD"/>
    <w:rsid w:val="00710140"/>
    <w:rsid w:val="007113CD"/>
    <w:rsid w:val="0071294A"/>
    <w:rsid w:val="007411D4"/>
    <w:rsid w:val="00743683"/>
    <w:rsid w:val="00796C47"/>
    <w:rsid w:val="007A264C"/>
    <w:rsid w:val="007A5AB0"/>
    <w:rsid w:val="007D3397"/>
    <w:rsid w:val="007F2275"/>
    <w:rsid w:val="00822636"/>
    <w:rsid w:val="00855232"/>
    <w:rsid w:val="00871089"/>
    <w:rsid w:val="008A7ADD"/>
    <w:rsid w:val="008B6FD6"/>
    <w:rsid w:val="008E0878"/>
    <w:rsid w:val="008F6DAF"/>
    <w:rsid w:val="00915F0F"/>
    <w:rsid w:val="00923C0A"/>
    <w:rsid w:val="009268E4"/>
    <w:rsid w:val="009532DF"/>
    <w:rsid w:val="0096445D"/>
    <w:rsid w:val="00997019"/>
    <w:rsid w:val="009A5029"/>
    <w:rsid w:val="009D38D5"/>
    <w:rsid w:val="009D672B"/>
    <w:rsid w:val="009E22E5"/>
    <w:rsid w:val="009F0706"/>
    <w:rsid w:val="00A06AED"/>
    <w:rsid w:val="00A11865"/>
    <w:rsid w:val="00A21827"/>
    <w:rsid w:val="00A45865"/>
    <w:rsid w:val="00A53F26"/>
    <w:rsid w:val="00A55F68"/>
    <w:rsid w:val="00A6791C"/>
    <w:rsid w:val="00A75C34"/>
    <w:rsid w:val="00A85DF1"/>
    <w:rsid w:val="00AA0CC5"/>
    <w:rsid w:val="00AA4820"/>
    <w:rsid w:val="00B03FD9"/>
    <w:rsid w:val="00B16AFE"/>
    <w:rsid w:val="00B16CC5"/>
    <w:rsid w:val="00B2291E"/>
    <w:rsid w:val="00B51268"/>
    <w:rsid w:val="00B6393B"/>
    <w:rsid w:val="00B65DD5"/>
    <w:rsid w:val="00B80C5B"/>
    <w:rsid w:val="00B9614A"/>
    <w:rsid w:val="00BD10B6"/>
    <w:rsid w:val="00BD6E36"/>
    <w:rsid w:val="00C01EA1"/>
    <w:rsid w:val="00C04581"/>
    <w:rsid w:val="00C07076"/>
    <w:rsid w:val="00C232E4"/>
    <w:rsid w:val="00C550BE"/>
    <w:rsid w:val="00C6418F"/>
    <w:rsid w:val="00CA3165"/>
    <w:rsid w:val="00CB00DF"/>
    <w:rsid w:val="00CB06DF"/>
    <w:rsid w:val="00CB2C34"/>
    <w:rsid w:val="00CD33DD"/>
    <w:rsid w:val="00CF28A4"/>
    <w:rsid w:val="00CF470C"/>
    <w:rsid w:val="00CF7E29"/>
    <w:rsid w:val="00D11905"/>
    <w:rsid w:val="00D245D6"/>
    <w:rsid w:val="00D4124F"/>
    <w:rsid w:val="00D57F6C"/>
    <w:rsid w:val="00D73C72"/>
    <w:rsid w:val="00DA173D"/>
    <w:rsid w:val="00DF2614"/>
    <w:rsid w:val="00E02C4D"/>
    <w:rsid w:val="00E0592B"/>
    <w:rsid w:val="00E31738"/>
    <w:rsid w:val="00E317F6"/>
    <w:rsid w:val="00E86786"/>
    <w:rsid w:val="00E91912"/>
    <w:rsid w:val="00E92988"/>
    <w:rsid w:val="00EA31AD"/>
    <w:rsid w:val="00EC30F1"/>
    <w:rsid w:val="00ED2F80"/>
    <w:rsid w:val="00EF6DC7"/>
    <w:rsid w:val="00F04221"/>
    <w:rsid w:val="00F1624E"/>
    <w:rsid w:val="00F26AD2"/>
    <w:rsid w:val="00F32F8A"/>
    <w:rsid w:val="00F4117D"/>
    <w:rsid w:val="00F520B0"/>
    <w:rsid w:val="00F571E8"/>
    <w:rsid w:val="00F75568"/>
    <w:rsid w:val="00F810AA"/>
    <w:rsid w:val="00F869D6"/>
    <w:rsid w:val="00FA22FC"/>
    <w:rsid w:val="00FB43EC"/>
    <w:rsid w:val="00FB4CBD"/>
    <w:rsid w:val="00FB6B40"/>
    <w:rsid w:val="00FC1D67"/>
    <w:rsid w:val="00FC5058"/>
    <w:rsid w:val="00FC5A86"/>
    <w:rsid w:val="EFE796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3"/>
    <w:semiHidden/>
    <w:unhideWhenUsed/>
    <w:qFormat/>
    <w:uiPriority w:val="99"/>
    <w:rPr>
      <w:rFonts w:ascii="Microsoft YaHei UI" w:eastAsia="Microsoft YaHei UI"/>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5"/>
    <w:qFormat/>
    <w:uiPriority w:val="99"/>
    <w:rPr>
      <w:rFonts w:ascii="Calibri" w:hAnsi="Calibri" w:eastAsia="宋体" w:cs="Times New Roman"/>
      <w:sz w:val="18"/>
      <w:szCs w:val="18"/>
    </w:rPr>
  </w:style>
  <w:style w:type="character" w:customStyle="1" w:styleId="11">
    <w:name w:val="页脚 字符"/>
    <w:basedOn w:val="8"/>
    <w:link w:val="4"/>
    <w:qFormat/>
    <w:uiPriority w:val="99"/>
    <w:rPr>
      <w:rFonts w:ascii="Calibri" w:hAnsi="Calibri" w:eastAsia="宋体" w:cs="Times New Roman"/>
      <w:sz w:val="18"/>
      <w:szCs w:val="18"/>
    </w:rPr>
  </w:style>
  <w:style w:type="paragraph" w:customStyle="1" w:styleId="12">
    <w:name w:val="Body"/>
    <w:basedOn w:val="1"/>
    <w:qFormat/>
    <w:uiPriority w:val="0"/>
    <w:pPr>
      <w:widowControl/>
      <w:spacing w:after="140" w:line="290" w:lineRule="auto"/>
    </w:pPr>
    <w:rPr>
      <w:rFonts w:ascii="Arial" w:hAnsi="Arial"/>
      <w:kern w:val="20"/>
      <w:sz w:val="20"/>
      <w:szCs w:val="24"/>
      <w:lang w:val="en-GB" w:eastAsia="en-GB"/>
    </w:rPr>
  </w:style>
  <w:style w:type="character" w:customStyle="1" w:styleId="13">
    <w:name w:val="批注框文本 字符"/>
    <w:basedOn w:val="8"/>
    <w:link w:val="3"/>
    <w:semiHidden/>
    <w:qFormat/>
    <w:uiPriority w:val="99"/>
    <w:rPr>
      <w:rFonts w:ascii="Microsoft YaHei UI" w:hAnsi="Calibri" w:eastAsia="Microsoft YaHei UI" w:cs="Times New Roman"/>
      <w:sz w:val="18"/>
      <w:szCs w:val="18"/>
    </w:rPr>
  </w:style>
  <w:style w:type="character" w:customStyle="1" w:styleId="14">
    <w:name w:val="批注文字 字符"/>
    <w:basedOn w:val="8"/>
    <w:link w:val="2"/>
    <w:semiHidden/>
    <w:qFormat/>
    <w:uiPriority w:val="99"/>
    <w:rPr>
      <w:rFonts w:ascii="Calibri" w:hAnsi="Calibri" w:eastAsia="宋体" w:cs="Times New Roman"/>
    </w:rPr>
  </w:style>
  <w:style w:type="character" w:customStyle="1" w:styleId="15">
    <w:name w:val="批注主题 字符"/>
    <w:basedOn w:val="14"/>
    <w:link w:val="6"/>
    <w:semiHidden/>
    <w:qFormat/>
    <w:uiPriority w:val="99"/>
    <w:rPr>
      <w:rFonts w:ascii="Calibri" w:hAnsi="Calibri" w:eastAsia="宋体" w:cs="Times New Roman"/>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157</Words>
  <Characters>896</Characters>
  <Lines>7</Lines>
  <Paragraphs>2</Paragraphs>
  <TotalTime>0</TotalTime>
  <ScaleCrop>false</ScaleCrop>
  <LinksUpToDate>false</LinksUpToDate>
  <CharactersWithSpaces>1051</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2021-06-22T15:19:00Z</dcterms:created>
  <dcterms:modified xsi:type="dcterms:W3CDTF">2021-11-26T13:44:25Z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