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仿宋_GB2312"/>
          <w:sz w:val="30"/>
          <w:szCs w:val="30"/>
        </w:rPr>
      </w:pPr>
      <w:bookmarkStart w:id="0" w:name="_GoBack"/>
      <w:bookmarkEnd w:id="0"/>
      <w:r>
        <w:rPr>
          <w:rFonts w:ascii="Times New Roman" w:hAnsi="Times New Roman" w:eastAsia="仿宋_GB2312"/>
          <w:sz w:val="30"/>
          <w:szCs w:val="30"/>
        </w:rPr>
        <w:t>经营者集中简易案件公示表</w:t>
      </w:r>
    </w:p>
    <w:p>
      <w:pPr>
        <w:spacing w:line="440" w:lineRule="exact"/>
        <w:ind w:firstLine="845" w:firstLineChars="302"/>
        <w:rPr>
          <w:rFonts w:ascii="Times New Roman" w:hAnsi="Times New Roman" w:eastAsia="仿宋_GB2312"/>
          <w:sz w:val="28"/>
          <w:szCs w:val="28"/>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案件名称</w:t>
            </w:r>
          </w:p>
        </w:tc>
        <w:tc>
          <w:tcPr>
            <w:tcW w:w="6949" w:type="dxa"/>
            <w:gridSpan w:val="2"/>
          </w:tcPr>
          <w:p>
            <w:pPr>
              <w:spacing w:before="120" w:after="12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安徽交控资本基金管理有限公司与中金私募股权投资管理有限公司新设合伙企业案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交易概况</w:t>
            </w:r>
          </w:p>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（限200字内）</w:t>
            </w:r>
          </w:p>
        </w:tc>
        <w:tc>
          <w:tcPr>
            <w:tcW w:w="6949" w:type="dxa"/>
            <w:gridSpan w:val="2"/>
          </w:tcPr>
          <w:p>
            <w:pPr>
              <w:spacing w:before="120" w:after="12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中金私募股权投资管理有限公司（“中金私募”）及其关联方拟与安徽交控资本基金管理有限公司及其关联方设立一家合伙企业（“合伙企业”）。本次交易后，中金私募与安徽交控资本基金管理有限公司均为普通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restart"/>
            <w:shd w:val="clear" w:color="auto" w:fill="D9D9D9"/>
            <w:vAlign w:val="center"/>
          </w:tcPr>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参与集中的</w:t>
            </w:r>
          </w:p>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经营者简介</w:t>
            </w:r>
          </w:p>
        </w:tc>
        <w:tc>
          <w:tcPr>
            <w:tcW w:w="1796" w:type="dxa"/>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1、</w:t>
            </w:r>
            <w:r>
              <w:rPr>
                <w:rFonts w:hint="eastAsia" w:ascii="Times New Roman" w:hAnsi="Times New Roman" w:eastAsia="仿宋_GB2312"/>
                <w:color w:val="333333"/>
                <w:kern w:val="0"/>
                <w:sz w:val="24"/>
                <w:szCs w:val="24"/>
              </w:rPr>
              <w:t>中金私募</w:t>
            </w:r>
          </w:p>
        </w:tc>
        <w:tc>
          <w:tcPr>
            <w:tcW w:w="5153" w:type="dxa"/>
          </w:tcPr>
          <w:p>
            <w:pPr>
              <w:spacing w:before="120" w:after="120"/>
              <w:rPr>
                <w:rFonts w:ascii="Times New Roman" w:hAnsi="Times New Roman" w:eastAsia="仿宋_GB2312"/>
                <w:color w:val="333333"/>
                <w:kern w:val="0"/>
                <w:sz w:val="24"/>
                <w:szCs w:val="24"/>
              </w:rPr>
            </w:pPr>
            <w:r>
              <w:rPr>
                <w:rFonts w:hint="eastAsia" w:ascii="Times New Roman" w:hAnsi="Times New Roman" w:eastAsia="仿宋_GB2312"/>
                <w:bCs/>
                <w:color w:val="333333"/>
                <w:kern w:val="0"/>
                <w:sz w:val="24"/>
                <w:szCs w:val="24"/>
              </w:rPr>
              <w:t>中金私募是中国国际金融股份有限公司旗下的股权投资管理平台，从事股权投资管理，投资管理，资产管理，投资咨询业务。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1796" w:type="dxa"/>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2、</w:t>
            </w:r>
            <w:r>
              <w:rPr>
                <w:rFonts w:hint="eastAsia" w:ascii="Times New Roman" w:hAnsi="Times New Roman" w:eastAsia="仿宋_GB2312"/>
                <w:color w:val="333333"/>
                <w:kern w:val="0"/>
                <w:sz w:val="24"/>
                <w:szCs w:val="24"/>
              </w:rPr>
              <w:t>安徽交控资本基金管理有限公司</w:t>
            </w:r>
          </w:p>
        </w:tc>
        <w:tc>
          <w:tcPr>
            <w:tcW w:w="5153" w:type="dxa"/>
          </w:tcPr>
          <w:p>
            <w:pPr>
              <w:spacing w:before="120" w:after="120"/>
              <w:rPr>
                <w:rFonts w:ascii="Times New Roman" w:hAnsi="Times New Roman" w:eastAsia="仿宋_GB2312"/>
                <w:color w:val="333333"/>
                <w:kern w:val="0"/>
                <w:sz w:val="24"/>
                <w:szCs w:val="24"/>
              </w:rPr>
            </w:pPr>
            <w:r>
              <w:rPr>
                <w:rFonts w:hint="eastAsia" w:ascii="Times New Roman" w:hAnsi="Times New Roman" w:eastAsia="仿宋_GB2312"/>
                <w:color w:val="333333"/>
                <w:kern w:val="0"/>
                <w:sz w:val="24"/>
                <w:szCs w:val="24"/>
              </w:rPr>
              <w:t>安徽交控资本基金管理有限公司在中国境内从事直投基金管理或与股权投资相关的其他投资基金管理；为客户提供与股权投资相关的投资顾问、投资管理服务。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简易案件理由（可以单选，也可以多选）</w:t>
            </w: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sym w:font="Wingdings" w:char="F0FE"/>
            </w:r>
            <w:r>
              <w:rPr>
                <w:rFonts w:ascii="Times New Roman" w:hAnsi="Times New Roman" w:eastAsia="仿宋_GB2312"/>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before="120" w:after="120"/>
              <w:jc w:val="center"/>
              <w:rPr>
                <w:rFonts w:ascii="Times New Roman" w:hAnsi="Times New Roman" w:eastAsia="仿宋_GB2312"/>
                <w:color w:val="333333"/>
                <w:kern w:val="0"/>
                <w:sz w:val="24"/>
                <w:szCs w:val="24"/>
              </w:rPr>
            </w:pPr>
          </w:p>
        </w:tc>
        <w:tc>
          <w:tcPr>
            <w:tcW w:w="6949" w:type="dxa"/>
            <w:gridSpan w:val="2"/>
          </w:tcPr>
          <w:p>
            <w:pPr>
              <w:spacing w:before="120" w:after="120"/>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before="120" w:after="120"/>
              <w:jc w:val="center"/>
              <w:rPr>
                <w:rFonts w:ascii="Times New Roman" w:hAnsi="Times New Roman" w:eastAsia="仿宋_GB2312"/>
                <w:color w:val="333333"/>
                <w:kern w:val="0"/>
                <w:sz w:val="24"/>
                <w:szCs w:val="24"/>
              </w:rPr>
            </w:pPr>
            <w:r>
              <w:rPr>
                <w:rFonts w:ascii="Times New Roman" w:hAnsi="Times New Roman" w:eastAsia="仿宋_GB2312"/>
                <w:color w:val="333333"/>
                <w:kern w:val="0"/>
                <w:sz w:val="24"/>
                <w:szCs w:val="24"/>
              </w:rPr>
              <w:t>备注</w:t>
            </w:r>
          </w:p>
        </w:tc>
        <w:tc>
          <w:tcPr>
            <w:tcW w:w="6949" w:type="dxa"/>
            <w:gridSpan w:val="2"/>
          </w:tcPr>
          <w:p>
            <w:pPr>
              <w:pStyle w:val="12"/>
              <w:snapToGrid w:val="0"/>
              <w:spacing w:before="156" w:beforeLines="50" w:after="156" w:afterLines="50" w:line="240" w:lineRule="auto"/>
              <w:jc w:val="left"/>
              <w:rPr>
                <w:rFonts w:ascii="Times New Roman" w:hAnsi="Times New Roman" w:eastAsia="仿宋_GB2312"/>
                <w:kern w:val="0"/>
                <w:sz w:val="24"/>
                <w:lang w:eastAsia="zh-CN" w:bidi="ar-AE"/>
              </w:rPr>
            </w:pPr>
            <w:r>
              <w:rPr>
                <w:rFonts w:hint="eastAsia" w:ascii="Times New Roman" w:hAnsi="Times New Roman" w:eastAsia="仿宋_GB2312"/>
                <w:b/>
                <w:bCs/>
                <w:kern w:val="0"/>
                <w:sz w:val="24"/>
                <w:lang w:eastAsia="zh-CN" w:bidi="ar-AE"/>
              </w:rPr>
              <w:t>相关市场</w:t>
            </w:r>
            <w:r>
              <w:rPr>
                <w:rFonts w:hint="eastAsia" w:ascii="Times New Roman" w:hAnsi="Times New Roman" w:eastAsia="仿宋_GB2312"/>
                <w:kern w:val="0"/>
                <w:sz w:val="24"/>
                <w:lang w:eastAsia="zh-CN" w:bidi="ar-AE"/>
              </w:rPr>
              <w:t>：中国境内私募股权投资基金管理市场</w:t>
            </w:r>
          </w:p>
          <w:p>
            <w:pPr>
              <w:pStyle w:val="12"/>
              <w:snapToGrid w:val="0"/>
              <w:spacing w:before="156" w:beforeLines="50" w:after="156" w:afterLines="50" w:line="240" w:lineRule="auto"/>
              <w:jc w:val="left"/>
              <w:rPr>
                <w:rFonts w:ascii="Times New Roman" w:hAnsi="Times New Roman" w:eastAsia="仿宋_GB2312"/>
                <w:b/>
                <w:bCs/>
                <w:kern w:val="0"/>
                <w:sz w:val="24"/>
                <w:lang w:eastAsia="zh-CN" w:bidi="ar-AE"/>
              </w:rPr>
            </w:pPr>
            <w:r>
              <w:rPr>
                <w:rFonts w:hint="eastAsia" w:ascii="Times New Roman" w:hAnsi="Times New Roman" w:eastAsia="仿宋_GB2312"/>
                <w:b/>
                <w:bCs/>
                <w:kern w:val="0"/>
                <w:sz w:val="24"/>
                <w:lang w:eastAsia="zh-CN" w:bidi="ar-AE"/>
              </w:rPr>
              <w:t>相关市场的市场份额</w:t>
            </w:r>
          </w:p>
          <w:p>
            <w:pPr>
              <w:pStyle w:val="12"/>
              <w:snapToGrid w:val="0"/>
              <w:spacing w:before="156" w:beforeLines="50" w:after="156" w:afterLines="50" w:line="240" w:lineRule="auto"/>
              <w:jc w:val="left"/>
              <w:rPr>
                <w:rFonts w:ascii="Times New Roman" w:hAnsi="Times New Roman" w:eastAsia="仿宋_GB2312"/>
                <w:kern w:val="0"/>
                <w:sz w:val="24"/>
                <w:lang w:eastAsia="zh-CN" w:bidi="ar-AE"/>
              </w:rPr>
            </w:pPr>
            <w:r>
              <w:rPr>
                <w:rFonts w:hint="eastAsia" w:ascii="Times New Roman" w:hAnsi="Times New Roman" w:eastAsia="仿宋_GB2312"/>
                <w:kern w:val="0"/>
                <w:sz w:val="24"/>
                <w:lang w:eastAsia="zh-CN" w:bidi="ar-AE"/>
              </w:rPr>
              <w:t>中国境内私募股权投资基金管理市场</w:t>
            </w:r>
          </w:p>
          <w:p>
            <w:pPr>
              <w:pStyle w:val="12"/>
              <w:snapToGrid w:val="0"/>
              <w:spacing w:before="156" w:beforeLines="50" w:after="156" w:afterLines="50" w:line="240" w:lineRule="auto"/>
              <w:jc w:val="left"/>
              <w:rPr>
                <w:rFonts w:ascii="Times New Roman" w:hAnsi="Times New Roman" w:eastAsia="仿宋_GB2312"/>
                <w:kern w:val="0"/>
                <w:sz w:val="24"/>
                <w:lang w:eastAsia="zh-CN" w:bidi="ar-AE"/>
              </w:rPr>
            </w:pPr>
            <w:r>
              <w:rPr>
                <w:rFonts w:hint="eastAsia" w:ascii="Times New Roman" w:hAnsi="Times New Roman" w:eastAsia="仿宋_GB2312"/>
                <w:kern w:val="0"/>
                <w:sz w:val="24"/>
                <w:lang w:eastAsia="zh-CN" w:bidi="ar-AE"/>
              </w:rPr>
              <w:t>中金私募：[</w:t>
            </w:r>
            <w:r>
              <w:rPr>
                <w:rFonts w:ascii="Times New Roman" w:hAnsi="Times New Roman" w:eastAsia="仿宋_GB2312"/>
                <w:kern w:val="0"/>
                <w:sz w:val="24"/>
                <w:lang w:eastAsia="zh-CN" w:bidi="ar-AE"/>
              </w:rPr>
              <w:t>0</w:t>
            </w:r>
            <w:r>
              <w:rPr>
                <w:rFonts w:hint="eastAsia" w:ascii="Times New Roman" w:hAnsi="Times New Roman" w:eastAsia="仿宋_GB2312"/>
                <w:kern w:val="0"/>
                <w:sz w:val="24"/>
                <w:lang w:eastAsia="zh-CN" w:bidi="ar-AE"/>
              </w:rPr>
              <w:t>-</w:t>
            </w:r>
            <w:r>
              <w:rPr>
                <w:rFonts w:ascii="Times New Roman" w:hAnsi="Times New Roman" w:eastAsia="仿宋_GB2312"/>
                <w:kern w:val="0"/>
                <w:sz w:val="24"/>
                <w:lang w:eastAsia="zh-CN" w:bidi="ar-AE"/>
              </w:rPr>
              <w:t>5]</w:t>
            </w:r>
            <w:r>
              <w:rPr>
                <w:rFonts w:hint="eastAsia" w:ascii="Times New Roman" w:hAnsi="Times New Roman" w:eastAsia="仿宋_GB2312"/>
                <w:kern w:val="0"/>
                <w:sz w:val="24"/>
                <w:lang w:eastAsia="zh-CN" w:bidi="ar-AE"/>
              </w:rPr>
              <w:t>%</w:t>
            </w:r>
          </w:p>
          <w:p>
            <w:pPr>
              <w:pStyle w:val="12"/>
              <w:snapToGrid w:val="0"/>
              <w:spacing w:before="156" w:beforeLines="50" w:after="156" w:afterLines="50" w:line="240" w:lineRule="auto"/>
              <w:jc w:val="left"/>
              <w:rPr>
                <w:rFonts w:ascii="Times New Roman" w:hAnsi="Times New Roman" w:eastAsia="仿宋_GB2312"/>
                <w:kern w:val="0"/>
                <w:sz w:val="24"/>
                <w:lang w:eastAsia="zh-CN" w:bidi="ar-AE"/>
              </w:rPr>
            </w:pPr>
            <w:r>
              <w:rPr>
                <w:rFonts w:hint="eastAsia" w:ascii="Times New Roman" w:hAnsi="Times New Roman" w:eastAsia="仿宋_GB2312"/>
                <w:kern w:val="0"/>
                <w:sz w:val="24"/>
                <w:lang w:eastAsia="zh-CN" w:bidi="ar-AE"/>
              </w:rPr>
              <w:t>安徽交控资本基金管理有限公司：[</w:t>
            </w:r>
            <w:r>
              <w:rPr>
                <w:rFonts w:ascii="Times New Roman" w:hAnsi="Times New Roman" w:eastAsia="仿宋_GB2312"/>
                <w:kern w:val="0"/>
                <w:sz w:val="24"/>
                <w:lang w:eastAsia="zh-CN" w:bidi="ar-AE"/>
              </w:rPr>
              <w:t>0</w:t>
            </w:r>
            <w:r>
              <w:rPr>
                <w:rFonts w:hint="eastAsia" w:ascii="Times New Roman" w:hAnsi="Times New Roman" w:eastAsia="仿宋_GB2312"/>
                <w:kern w:val="0"/>
                <w:sz w:val="24"/>
                <w:lang w:eastAsia="zh-CN" w:bidi="ar-AE"/>
              </w:rPr>
              <w:t>-</w:t>
            </w:r>
            <w:r>
              <w:rPr>
                <w:rFonts w:ascii="Times New Roman" w:hAnsi="Times New Roman" w:eastAsia="仿宋_GB2312"/>
                <w:kern w:val="0"/>
                <w:sz w:val="24"/>
                <w:lang w:eastAsia="zh-CN" w:bidi="ar-AE"/>
              </w:rPr>
              <w:t>5]</w:t>
            </w:r>
            <w:r>
              <w:rPr>
                <w:rFonts w:hint="eastAsia" w:ascii="Times New Roman" w:hAnsi="Times New Roman" w:eastAsia="仿宋_GB2312"/>
                <w:kern w:val="0"/>
                <w:sz w:val="24"/>
                <w:lang w:eastAsia="zh-CN" w:bidi="ar-AE"/>
              </w:rPr>
              <w:t>%</w:t>
            </w:r>
          </w:p>
        </w:tc>
      </w:tr>
    </w:tbl>
    <w:p>
      <w:pPr>
        <w:snapToGrid w:val="0"/>
        <w:spacing w:line="240" w:lineRule="exact"/>
        <w:jc w:val="left"/>
        <w:rPr>
          <w:rFonts w:ascii="Times New Roman" w:hAnsi="Times New Roman" w:eastAsia="仿宋_GB2312"/>
          <w:sz w:val="24"/>
          <w:szCs w:val="24"/>
        </w:rPr>
      </w:pPr>
    </w:p>
    <w:p>
      <w:pPr>
        <w:snapToGrid w:val="0"/>
        <w:spacing w:line="240" w:lineRule="exact"/>
        <w:jc w:val="left"/>
        <w:rPr>
          <w:rFonts w:ascii="Times New Roman" w:hAnsi="Times New Roman" w:eastAsia="仿宋_GB2312"/>
          <w:sz w:val="24"/>
          <w:szCs w:val="24"/>
        </w:rPr>
      </w:pPr>
      <w:r>
        <w:rPr>
          <w:rFonts w:ascii="Times New Roman" w:hAnsi="Times New Roman" w:eastAsia="仿宋_GB2312"/>
          <w:sz w:val="24"/>
          <w:szCs w:val="24"/>
        </w:rPr>
        <w:t>注解：</w:t>
      </w:r>
    </w:p>
    <w:p>
      <w:pPr>
        <w:snapToGrid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ascii="Times New Roman" w:hAnsi="Times New Roman" w:eastAsia="仿宋_GB2312"/>
          <w:sz w:val="28"/>
          <w:szCs w:val="28"/>
        </w:rPr>
      </w:pPr>
      <w:r>
        <w:rPr>
          <w:rFonts w:ascii="Times New Roman" w:hAnsi="Times New Roman" w:eastAsia="仿宋_GB2312"/>
          <w:sz w:val="24"/>
          <w:szCs w:val="24"/>
        </w:rPr>
        <w:t>2.申报方申请简易案件的理由是基于第4项、第5项时，无须在备注中说明相关市场和市场份额。</w:t>
      </w:r>
      <w:r>
        <w:rPr>
          <w:rFonts w:ascii="Times New Roman" w:hAnsi="Times New Roman" w:eastAsia="仿宋_GB2312"/>
          <w:sz w:val="24"/>
          <w:szCs w:val="24"/>
        </w:rPr>
        <w:br w:type="textWrapping"/>
      </w:r>
      <w:r>
        <w:rPr>
          <w:rFonts w:ascii="Times New Roman" w:hAnsi="Times New Roman" w:eastAsia="仿宋_GB2312"/>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pPr>
        <w:rPr>
          <w:rFonts w:ascii="Times New Roman" w:hAnsi="Times New Roman" w:eastAsia="仿宋_GB2312"/>
        </w:rPr>
      </w:pPr>
    </w:p>
    <w:p>
      <w:pPr>
        <w:rPr>
          <w:rFonts w:ascii="Times New Roman" w:hAnsi="Times New Roman"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removePersonalInformation/>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F"/>
    <w:rsid w:val="00020649"/>
    <w:rsid w:val="0002654C"/>
    <w:rsid w:val="000336C9"/>
    <w:rsid w:val="00037065"/>
    <w:rsid w:val="00041633"/>
    <w:rsid w:val="0006686C"/>
    <w:rsid w:val="00076B84"/>
    <w:rsid w:val="000948F8"/>
    <w:rsid w:val="000B39A2"/>
    <w:rsid w:val="000C3111"/>
    <w:rsid w:val="000D7EBA"/>
    <w:rsid w:val="000E242B"/>
    <w:rsid w:val="000F4CA6"/>
    <w:rsid w:val="001164CD"/>
    <w:rsid w:val="00136766"/>
    <w:rsid w:val="001507E4"/>
    <w:rsid w:val="00155717"/>
    <w:rsid w:val="001837A3"/>
    <w:rsid w:val="001A5868"/>
    <w:rsid w:val="001B700D"/>
    <w:rsid w:val="001D2298"/>
    <w:rsid w:val="001E1F73"/>
    <w:rsid w:val="001F0CFA"/>
    <w:rsid w:val="00245A34"/>
    <w:rsid w:val="00253265"/>
    <w:rsid w:val="00263334"/>
    <w:rsid w:val="002965D2"/>
    <w:rsid w:val="002A0E10"/>
    <w:rsid w:val="002B6AF9"/>
    <w:rsid w:val="002E40B6"/>
    <w:rsid w:val="002E533C"/>
    <w:rsid w:val="002F0A05"/>
    <w:rsid w:val="002F3C55"/>
    <w:rsid w:val="003526F9"/>
    <w:rsid w:val="00353DC0"/>
    <w:rsid w:val="003C0AEB"/>
    <w:rsid w:val="003C103F"/>
    <w:rsid w:val="003C4AC5"/>
    <w:rsid w:val="003D6E18"/>
    <w:rsid w:val="004049FF"/>
    <w:rsid w:val="00407F92"/>
    <w:rsid w:val="00421325"/>
    <w:rsid w:val="00431063"/>
    <w:rsid w:val="00454E30"/>
    <w:rsid w:val="00465112"/>
    <w:rsid w:val="0047102F"/>
    <w:rsid w:val="004D3264"/>
    <w:rsid w:val="004D370D"/>
    <w:rsid w:val="004F104A"/>
    <w:rsid w:val="004F7688"/>
    <w:rsid w:val="005216AA"/>
    <w:rsid w:val="005306AA"/>
    <w:rsid w:val="00547332"/>
    <w:rsid w:val="00584B85"/>
    <w:rsid w:val="005C0EEB"/>
    <w:rsid w:val="005C42B9"/>
    <w:rsid w:val="005E48C6"/>
    <w:rsid w:val="005F69F9"/>
    <w:rsid w:val="005F7463"/>
    <w:rsid w:val="00621DDE"/>
    <w:rsid w:val="00626E7C"/>
    <w:rsid w:val="006274F2"/>
    <w:rsid w:val="006467D8"/>
    <w:rsid w:val="006531FE"/>
    <w:rsid w:val="006755FE"/>
    <w:rsid w:val="00685AA4"/>
    <w:rsid w:val="00693C03"/>
    <w:rsid w:val="006A531B"/>
    <w:rsid w:val="006A590B"/>
    <w:rsid w:val="006D49CC"/>
    <w:rsid w:val="006F2C93"/>
    <w:rsid w:val="006F7693"/>
    <w:rsid w:val="007064AD"/>
    <w:rsid w:val="00710140"/>
    <w:rsid w:val="007113CD"/>
    <w:rsid w:val="0071294A"/>
    <w:rsid w:val="007411D4"/>
    <w:rsid w:val="00743683"/>
    <w:rsid w:val="00796C47"/>
    <w:rsid w:val="007A264C"/>
    <w:rsid w:val="007A5AB0"/>
    <w:rsid w:val="007D3397"/>
    <w:rsid w:val="007F2275"/>
    <w:rsid w:val="00822636"/>
    <w:rsid w:val="00855232"/>
    <w:rsid w:val="00871089"/>
    <w:rsid w:val="008A7ADD"/>
    <w:rsid w:val="008B6FD6"/>
    <w:rsid w:val="008E0878"/>
    <w:rsid w:val="008F6DAF"/>
    <w:rsid w:val="00915F0F"/>
    <w:rsid w:val="00923C0A"/>
    <w:rsid w:val="009268E4"/>
    <w:rsid w:val="009532DF"/>
    <w:rsid w:val="0096445D"/>
    <w:rsid w:val="00997019"/>
    <w:rsid w:val="009A5029"/>
    <w:rsid w:val="009D38D5"/>
    <w:rsid w:val="009D672B"/>
    <w:rsid w:val="009E22E5"/>
    <w:rsid w:val="009F0706"/>
    <w:rsid w:val="00A06AED"/>
    <w:rsid w:val="00A11865"/>
    <w:rsid w:val="00A21827"/>
    <w:rsid w:val="00A45865"/>
    <w:rsid w:val="00A53F26"/>
    <w:rsid w:val="00A55F68"/>
    <w:rsid w:val="00A6791C"/>
    <w:rsid w:val="00A75C34"/>
    <w:rsid w:val="00A85DF1"/>
    <w:rsid w:val="00AA0CC5"/>
    <w:rsid w:val="00AA4820"/>
    <w:rsid w:val="00B03FD9"/>
    <w:rsid w:val="00B16AFE"/>
    <w:rsid w:val="00B16CC5"/>
    <w:rsid w:val="00B2291E"/>
    <w:rsid w:val="00B51268"/>
    <w:rsid w:val="00B6393B"/>
    <w:rsid w:val="00B65DD5"/>
    <w:rsid w:val="00B80C5B"/>
    <w:rsid w:val="00B9614A"/>
    <w:rsid w:val="00BD10B6"/>
    <w:rsid w:val="00BD6E36"/>
    <w:rsid w:val="00C01EA1"/>
    <w:rsid w:val="00C04581"/>
    <w:rsid w:val="00C07076"/>
    <w:rsid w:val="00C232E4"/>
    <w:rsid w:val="00C550BE"/>
    <w:rsid w:val="00C6418F"/>
    <w:rsid w:val="00CA3165"/>
    <w:rsid w:val="00CB00DF"/>
    <w:rsid w:val="00CB06DF"/>
    <w:rsid w:val="00CB2C34"/>
    <w:rsid w:val="00CD33DD"/>
    <w:rsid w:val="00CF28A4"/>
    <w:rsid w:val="00CF470C"/>
    <w:rsid w:val="00CF7E29"/>
    <w:rsid w:val="00D11905"/>
    <w:rsid w:val="00D245D6"/>
    <w:rsid w:val="00D4124F"/>
    <w:rsid w:val="00D57F6C"/>
    <w:rsid w:val="00D73C72"/>
    <w:rsid w:val="00DA173D"/>
    <w:rsid w:val="00DF2614"/>
    <w:rsid w:val="00E02C4D"/>
    <w:rsid w:val="00E0592B"/>
    <w:rsid w:val="00E31738"/>
    <w:rsid w:val="00E317F6"/>
    <w:rsid w:val="00E86786"/>
    <w:rsid w:val="00E91912"/>
    <w:rsid w:val="00E92988"/>
    <w:rsid w:val="00EA31AD"/>
    <w:rsid w:val="00EC30F1"/>
    <w:rsid w:val="00ED2F80"/>
    <w:rsid w:val="00EF6DC7"/>
    <w:rsid w:val="00F04221"/>
    <w:rsid w:val="00F1624E"/>
    <w:rsid w:val="00F26AD2"/>
    <w:rsid w:val="00F32F8A"/>
    <w:rsid w:val="00F4117D"/>
    <w:rsid w:val="00F520B0"/>
    <w:rsid w:val="00F571E8"/>
    <w:rsid w:val="00F75568"/>
    <w:rsid w:val="00F810AA"/>
    <w:rsid w:val="00F869D6"/>
    <w:rsid w:val="00FA22FC"/>
    <w:rsid w:val="00FB43EC"/>
    <w:rsid w:val="00FB4CBD"/>
    <w:rsid w:val="00FB6B40"/>
    <w:rsid w:val="00FC1D67"/>
    <w:rsid w:val="00FC5058"/>
    <w:rsid w:val="00FC5A86"/>
    <w:rsid w:val="EFE79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rFonts w:ascii="Microsoft YaHei UI" w:eastAsia="Microsoft YaHei UI"/>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Body"/>
    <w:basedOn w:val="1"/>
    <w:qFormat/>
    <w:uiPriority w:val="0"/>
    <w:pPr>
      <w:widowControl/>
      <w:spacing w:after="140" w:line="290" w:lineRule="auto"/>
    </w:pPr>
    <w:rPr>
      <w:rFonts w:ascii="Arial" w:hAnsi="Arial"/>
      <w:kern w:val="20"/>
      <w:sz w:val="20"/>
      <w:szCs w:val="24"/>
      <w:lang w:val="en-GB" w:eastAsia="en-GB"/>
    </w:rPr>
  </w:style>
  <w:style w:type="character" w:customStyle="1" w:styleId="13">
    <w:name w:val="批注框文本 字符"/>
    <w:basedOn w:val="8"/>
    <w:link w:val="3"/>
    <w:semiHidden/>
    <w:qFormat/>
    <w:uiPriority w:val="99"/>
    <w:rPr>
      <w:rFonts w:ascii="Microsoft YaHei UI" w:hAnsi="Calibri" w:eastAsia="Microsoft YaHei UI" w:cs="Times New Roman"/>
      <w:sz w:val="18"/>
      <w:szCs w:val="18"/>
    </w:rPr>
  </w:style>
  <w:style w:type="character" w:customStyle="1" w:styleId="14">
    <w:name w:val="批注文字 字符"/>
    <w:basedOn w:val="8"/>
    <w:link w:val="2"/>
    <w:semiHidden/>
    <w:qFormat/>
    <w:uiPriority w:val="99"/>
    <w:rPr>
      <w:rFonts w:ascii="Calibri" w:hAnsi="Calibri" w:eastAsia="宋体" w:cs="Times New Roman"/>
    </w:rPr>
  </w:style>
  <w:style w:type="character" w:customStyle="1" w:styleId="15">
    <w:name w:val="批注主题 字符"/>
    <w:basedOn w:val="14"/>
    <w:link w:val="6"/>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896</Characters>
  <Lines>7</Lines>
  <Paragraphs>2</Paragraphs>
  <TotalTime>0</TotalTime>
  <ScaleCrop>false</ScaleCrop>
  <LinksUpToDate>false</LinksUpToDate>
  <CharactersWithSpaces>1051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2021-06-22T15:19:00Z</dcterms:created>
  <dcterms:modified xsi:type="dcterms:W3CDTF">2021-11-26T13:44:25Z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