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AC99" w14:textId="77777777" w:rsidR="00CB00DF" w:rsidRPr="00C0259A" w:rsidRDefault="00CB00DF" w:rsidP="008E738F">
      <w:pPr>
        <w:spacing w:line="440" w:lineRule="exact"/>
        <w:jc w:val="center"/>
        <w:rPr>
          <w:rFonts w:asciiTheme="minorHAnsi" w:eastAsiaTheme="minorHAnsi" w:hAnsiTheme="minorHAnsi"/>
          <w:sz w:val="30"/>
          <w:szCs w:val="30"/>
        </w:rPr>
      </w:pPr>
      <w:r w:rsidRPr="00C0259A">
        <w:rPr>
          <w:rFonts w:asciiTheme="minorHAnsi" w:eastAsiaTheme="minorHAnsi" w:hAnsiTheme="minorHAnsi" w:hint="eastAsia"/>
          <w:sz w:val="30"/>
          <w:szCs w:val="30"/>
        </w:rPr>
        <w:t>经营者集中简易案件公示表</w:t>
      </w:r>
    </w:p>
    <w:p w14:paraId="0C9F40BA" w14:textId="77777777" w:rsidR="008E738F" w:rsidRPr="00C0259A" w:rsidRDefault="008E738F" w:rsidP="008E738F">
      <w:pPr>
        <w:spacing w:line="440" w:lineRule="exact"/>
        <w:jc w:val="center"/>
        <w:rPr>
          <w:rFonts w:asciiTheme="minorHAnsi" w:eastAsiaTheme="minorHAnsi" w:hAnsiTheme="minorHAnsi"/>
          <w:sz w:val="30"/>
          <w:szCs w:val="30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C0259A" w14:paraId="2D3EA569" w14:textId="77777777" w:rsidTr="00CB00DF">
        <w:tc>
          <w:tcPr>
            <w:tcW w:w="1809" w:type="dxa"/>
            <w:shd w:val="clear" w:color="auto" w:fill="D9D9D9"/>
            <w:vAlign w:val="center"/>
          </w:tcPr>
          <w:p w14:paraId="5482DC90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3B54549C" w14:textId="2F254249" w:rsidR="00865634" w:rsidRPr="00C0259A" w:rsidRDefault="00820716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bookmarkStart w:id="0" w:name="OLE_LINK1"/>
            <w:r>
              <w:rPr>
                <w:rFonts w:ascii="等线" w:eastAsia="等线" w:hAnsi="等线" w:hint="eastAsia"/>
                <w:sz w:val="24"/>
                <w:szCs w:val="24"/>
              </w:rPr>
              <w:t>中油国投伊拉克有限公司</w:t>
            </w:r>
            <w:bookmarkEnd w:id="0"/>
            <w:r>
              <w:rPr>
                <w:rFonts w:ascii="等线" w:eastAsia="等线" w:hAnsi="等线" w:hint="eastAsia"/>
                <w:sz w:val="24"/>
                <w:szCs w:val="24"/>
              </w:rPr>
              <w:t>与碧辟</w:t>
            </w:r>
            <w:r>
              <w:rPr>
                <w:rFonts w:ascii="等线" w:hAnsi="等线" w:hint="eastAsia"/>
                <w:sz w:val="24"/>
                <w:szCs w:val="24"/>
                <w:lang w:val="en-GB"/>
              </w:rPr>
              <w:t>勘探作业有限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公司新设合营企业案（“</w:t>
            </w:r>
            <w:r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拟议交易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”）</w:t>
            </w:r>
          </w:p>
        </w:tc>
      </w:tr>
      <w:tr w:rsidR="00CB00DF" w:rsidRPr="00C0259A" w14:paraId="7C9AB808" w14:textId="77777777" w:rsidTr="00FF54D4">
        <w:trPr>
          <w:trHeight w:val="3206"/>
        </w:trPr>
        <w:tc>
          <w:tcPr>
            <w:tcW w:w="1809" w:type="dxa"/>
            <w:shd w:val="clear" w:color="auto" w:fill="D9D9D9"/>
            <w:vAlign w:val="center"/>
          </w:tcPr>
          <w:p w14:paraId="575C8496" w14:textId="77777777" w:rsidR="00F1624E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1357475C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1659583C" w14:textId="6A424867" w:rsidR="00864D06" w:rsidRPr="00C0259A" w:rsidRDefault="00820716" w:rsidP="00820716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中油国投伊拉克有限公司与碧辟勘探作业有限公司的全资子公司</w:t>
            </w:r>
            <w:r w:rsidR="00864D06" w:rsidRPr="00864D0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碧辟控股伊拉克有限公司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拟在迪拜</w:t>
            </w:r>
            <w:r w:rsidR="00001ED0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设</w:t>
            </w:r>
            <w:r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一家合营企业</w:t>
            </w:r>
            <w:r w:rsidR="00F5217F" w:rsidRPr="00F5217F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开展业务</w:t>
            </w:r>
            <w:r w:rsidR="00163C29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="00163C29"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中油国投伊拉克有限公司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将持有</w:t>
            </w:r>
            <w:r w:rsidR="00163C29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51%的股权，</w:t>
            </w:r>
            <w:r w:rsidR="00163C29" w:rsidRPr="00864D0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碧辟控股伊拉克有限公司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将持有</w:t>
            </w:r>
            <w:r w:rsidR="00163C29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49%的股权。该合营企业将主要</w:t>
            </w:r>
            <w:r w:rsidR="009577D4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从事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石油天然气的勘探、开发和生产等产业</w:t>
            </w:r>
            <w:r w:rsidR="00163C29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Pr="00820716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该合营企业主不在中国境内从事经济活动。</w:t>
            </w:r>
          </w:p>
        </w:tc>
      </w:tr>
      <w:tr w:rsidR="00CB00DF" w:rsidRPr="00C0259A" w14:paraId="5A6BDFA8" w14:textId="77777777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5692FAA0" w14:textId="77777777" w:rsidR="00F1624E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5FA59F5E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6FDFD1C8" w14:textId="29305C2C" w:rsidR="00CB00DF" w:rsidRPr="00C0259A" w:rsidRDefault="00163C29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中油国投伊拉克有限公司</w:t>
            </w:r>
          </w:p>
        </w:tc>
        <w:tc>
          <w:tcPr>
            <w:tcW w:w="5153" w:type="dxa"/>
          </w:tcPr>
          <w:p w14:paraId="787FD06D" w14:textId="1D9DB24A" w:rsidR="00CB00DF" w:rsidRPr="00C0259A" w:rsidRDefault="0064421C" w:rsidP="006F68A2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4421C"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2010</w:t>
            </w:r>
            <w:r w:rsidRPr="0064421C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64421C"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64421C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64421C"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64421C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="00FF54D4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 w:rsidRPr="0064421C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阿联酋迪拜杰贝阿里自由区</w:t>
            </w:r>
            <w:r w:rsidR="00FF54D4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注册成立</w:t>
            </w:r>
            <w:r w:rsidRPr="0064421C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。主要经营范围为能源投资等，在伊拉克境内经营油田开发项目。</w:t>
            </w:r>
          </w:p>
        </w:tc>
      </w:tr>
      <w:tr w:rsidR="00CB00DF" w:rsidRPr="00C0259A" w14:paraId="17C7BA02" w14:textId="77777777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777005D2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1F9C48AB" w14:textId="7DF5F239" w:rsidR="00CB00DF" w:rsidRPr="00C0259A" w:rsidRDefault="00163C29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碧辟</w:t>
            </w:r>
            <w:r>
              <w:rPr>
                <w:rFonts w:ascii="等线" w:hAnsi="等线" w:hint="eastAsia"/>
                <w:sz w:val="24"/>
                <w:szCs w:val="24"/>
                <w:lang w:val="en-GB"/>
              </w:rPr>
              <w:t>勘探作业有限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</w:p>
        </w:tc>
        <w:tc>
          <w:tcPr>
            <w:tcW w:w="5153" w:type="dxa"/>
          </w:tcPr>
          <w:p w14:paraId="499C99DE" w14:textId="4C73A2B3" w:rsidR="00CB00DF" w:rsidRPr="00C0259A" w:rsidRDefault="00FD6C1A" w:rsidP="005B6FF3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D6C1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1935年10月12日</w:t>
            </w:r>
            <w:r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在英国注册成立。</w:t>
            </w:r>
            <w:r w:rsidR="005B6FF3" w:rsidRPr="005B6FF3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碧辟勘探是碧辟集团的勘探业务公司</w:t>
            </w:r>
            <w:r w:rsidR="005B6FF3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5B6FF3" w:rsidRPr="005B6FF3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其在全球参与勘探和生产的商业机会。英国石油（BP p.l.c., 以下简称“BP”）是一家整合的能源公司，在欧洲、南北美洲、澳洲、亚洲和非洲均有业务。BP作为母公司，旗下全球实体企业（以下简称“碧辟集团”）集中在四个企业集团：（i）碳氢化合物（油气）的生产和营销；（ii）顾客和产品，该集团为BP发展向顾客提供的便利和移动方案；（iii）燃气和低碳能源（包括可再生能源和集成燃气）；及（iv）促进数字化转型的创新和工程。更多有关BP的信息请参考https://www.bp.com/。</w:t>
            </w:r>
          </w:p>
        </w:tc>
      </w:tr>
      <w:tr w:rsidR="00CB00DF" w:rsidRPr="00C0259A" w14:paraId="3C43A6AF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6437A8D4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</w:t>
            </w: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可以多选）</w:t>
            </w:r>
          </w:p>
        </w:tc>
        <w:tc>
          <w:tcPr>
            <w:tcW w:w="6949" w:type="dxa"/>
            <w:gridSpan w:val="2"/>
          </w:tcPr>
          <w:p w14:paraId="4654BF82" w14:textId="04F80B43" w:rsidR="00CB00DF" w:rsidRPr="00C0259A" w:rsidRDefault="00165C29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□</w:t>
            </w:r>
            <w:r w:rsidR="00CB00DF"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CB00DF" w:rsidRPr="00C0259A" w14:paraId="70276CE3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0A5E53DB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5FC3A896" w14:textId="77777777" w:rsidR="00CB00DF" w:rsidRPr="00C0259A" w:rsidRDefault="00CB00DF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□2.存在上下游关系的参与集中的经营者，在上下游市场所占的市场份额均小于25%。</w:t>
            </w:r>
          </w:p>
        </w:tc>
      </w:tr>
      <w:tr w:rsidR="00CB00DF" w:rsidRPr="00C0259A" w14:paraId="36078DF1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33893DF9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331B3686" w14:textId="77777777" w:rsidR="00CB00DF" w:rsidRPr="00C0259A" w:rsidRDefault="00CB00DF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 w:rsidR="00CB00DF" w:rsidRPr="00C0259A" w14:paraId="1663D60E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5ADD3988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73F4EE38" w14:textId="77777777" w:rsidR="00CB00DF" w:rsidRPr="00C0259A" w:rsidRDefault="008E738F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 2" w:char="F052"/>
            </w:r>
            <w:r w:rsidR="00CB00DF"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CB00DF" w:rsidRPr="00C0259A" w14:paraId="22A57E10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0F17865E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48A8F3B" w14:textId="77777777" w:rsidR="00CB00DF" w:rsidRPr="00C0259A" w:rsidRDefault="00CB00DF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□5.参与集中的经营者收购境外企业股权或资产的，该境外企业不在中国境内从事经济活动。</w:t>
            </w:r>
          </w:p>
        </w:tc>
      </w:tr>
      <w:tr w:rsidR="00CB00DF" w:rsidRPr="00C0259A" w14:paraId="076A598F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41E1E50F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21D419A" w14:textId="77777777" w:rsidR="00CB00DF" w:rsidRPr="00C0259A" w:rsidRDefault="00CB00DF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CB00DF" w:rsidRPr="00C0259A" w14:paraId="10802450" w14:textId="77777777" w:rsidTr="00CB00DF">
        <w:tc>
          <w:tcPr>
            <w:tcW w:w="1809" w:type="dxa"/>
            <w:shd w:val="clear" w:color="auto" w:fill="D9D9D9"/>
            <w:vAlign w:val="center"/>
          </w:tcPr>
          <w:p w14:paraId="15FA87A9" w14:textId="77777777" w:rsidR="00CB00DF" w:rsidRPr="00C0259A" w:rsidRDefault="00CB00DF" w:rsidP="00CB00DF">
            <w:pPr>
              <w:spacing w:line="500" w:lineRule="exact"/>
              <w:jc w:val="center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0259A">
              <w:rPr>
                <w:rFonts w:asciiTheme="minorHAnsi" w:eastAsiaTheme="minorHAnsi" w:hAnsiTheme="minorHAnsi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47332786" w14:textId="77777777" w:rsidR="00CB00DF" w:rsidRPr="00C0259A" w:rsidRDefault="00CB00DF" w:rsidP="006908A4">
            <w:pPr>
              <w:spacing w:line="500" w:lineRule="exact"/>
              <w:rPr>
                <w:rFonts w:asciiTheme="minorHAnsi" w:eastAsiaTheme="minorHAnsi" w:hAnsiTheme="minorHAnsi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EFDC25E" w14:textId="77777777" w:rsidR="000F5E24" w:rsidRPr="00C0259A" w:rsidRDefault="00FE1A50">
      <w:pPr>
        <w:rPr>
          <w:rFonts w:asciiTheme="minorHAnsi" w:eastAsiaTheme="minorHAnsi" w:hAnsiTheme="minorHAnsi"/>
        </w:rPr>
      </w:pPr>
    </w:p>
    <w:sectPr w:rsidR="000F5E24" w:rsidRPr="00C0259A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3BD7" w14:textId="77777777" w:rsidR="00FE1A50" w:rsidRDefault="00FE1A50" w:rsidP="00165C29">
      <w:r>
        <w:separator/>
      </w:r>
    </w:p>
  </w:endnote>
  <w:endnote w:type="continuationSeparator" w:id="0">
    <w:p w14:paraId="6A1C4E15" w14:textId="77777777" w:rsidR="00FE1A50" w:rsidRDefault="00FE1A50" w:rsidP="0016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C000" w14:textId="77777777" w:rsidR="00FE1A50" w:rsidRDefault="00FE1A50" w:rsidP="00165C29">
      <w:r>
        <w:separator/>
      </w:r>
    </w:p>
  </w:footnote>
  <w:footnote w:type="continuationSeparator" w:id="0">
    <w:p w14:paraId="22DE1A20" w14:textId="77777777" w:rsidR="00FE1A50" w:rsidRDefault="00FE1A50" w:rsidP="0016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DF"/>
    <w:rsid w:val="00001ED0"/>
    <w:rsid w:val="00037065"/>
    <w:rsid w:val="000D7EBA"/>
    <w:rsid w:val="000E4AB2"/>
    <w:rsid w:val="001164CD"/>
    <w:rsid w:val="00155717"/>
    <w:rsid w:val="00163C29"/>
    <w:rsid w:val="00165C29"/>
    <w:rsid w:val="001837A3"/>
    <w:rsid w:val="001A5AF1"/>
    <w:rsid w:val="001B663B"/>
    <w:rsid w:val="002017FC"/>
    <w:rsid w:val="002325AE"/>
    <w:rsid w:val="00260BF0"/>
    <w:rsid w:val="00274BC9"/>
    <w:rsid w:val="002F513C"/>
    <w:rsid w:val="00323C97"/>
    <w:rsid w:val="003836E4"/>
    <w:rsid w:val="003A2152"/>
    <w:rsid w:val="003C0AEB"/>
    <w:rsid w:val="00484630"/>
    <w:rsid w:val="004F7688"/>
    <w:rsid w:val="00526BF2"/>
    <w:rsid w:val="00556386"/>
    <w:rsid w:val="00586D77"/>
    <w:rsid w:val="00587A7A"/>
    <w:rsid w:val="005B0C7F"/>
    <w:rsid w:val="005B6FF3"/>
    <w:rsid w:val="005C20F5"/>
    <w:rsid w:val="0064421C"/>
    <w:rsid w:val="006467D8"/>
    <w:rsid w:val="006A531B"/>
    <w:rsid w:val="006E3758"/>
    <w:rsid w:val="006F68A2"/>
    <w:rsid w:val="006F7693"/>
    <w:rsid w:val="00710140"/>
    <w:rsid w:val="007C2CB2"/>
    <w:rsid w:val="007F2275"/>
    <w:rsid w:val="00820716"/>
    <w:rsid w:val="00864D06"/>
    <w:rsid w:val="00865634"/>
    <w:rsid w:val="008E738F"/>
    <w:rsid w:val="00915F0F"/>
    <w:rsid w:val="00921CB2"/>
    <w:rsid w:val="009532DF"/>
    <w:rsid w:val="009577D4"/>
    <w:rsid w:val="00997019"/>
    <w:rsid w:val="009A5029"/>
    <w:rsid w:val="009D38D5"/>
    <w:rsid w:val="009F1772"/>
    <w:rsid w:val="00A06A4C"/>
    <w:rsid w:val="00A53F26"/>
    <w:rsid w:val="00A559EE"/>
    <w:rsid w:val="00AA0CC5"/>
    <w:rsid w:val="00AD1E34"/>
    <w:rsid w:val="00B16AFE"/>
    <w:rsid w:val="00B65DD5"/>
    <w:rsid w:val="00B73891"/>
    <w:rsid w:val="00BB6A2F"/>
    <w:rsid w:val="00BD10B6"/>
    <w:rsid w:val="00C0259A"/>
    <w:rsid w:val="00C07076"/>
    <w:rsid w:val="00CA4A5C"/>
    <w:rsid w:val="00CB00DF"/>
    <w:rsid w:val="00D107B1"/>
    <w:rsid w:val="00D51C60"/>
    <w:rsid w:val="00D73C72"/>
    <w:rsid w:val="00E0592B"/>
    <w:rsid w:val="00E31738"/>
    <w:rsid w:val="00E86786"/>
    <w:rsid w:val="00ED2F80"/>
    <w:rsid w:val="00F1624E"/>
    <w:rsid w:val="00F32F8A"/>
    <w:rsid w:val="00F43587"/>
    <w:rsid w:val="00F5217F"/>
    <w:rsid w:val="00F810AA"/>
    <w:rsid w:val="00F86690"/>
    <w:rsid w:val="00FB43EC"/>
    <w:rsid w:val="00FB6B40"/>
    <w:rsid w:val="00FC4C01"/>
    <w:rsid w:val="00FD6C1A"/>
    <w:rsid w:val="00FE1A50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4813"/>
  <w15:docId w15:val="{40F231A4-9359-4140-B102-80B7969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C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C2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2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20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085554-0ffa-4eaf-947a-36c3b366e666">U7MTSZU7ZE52-15669-32</_dlc_DocId>
    <_dlc_DocIdUrl xmlns="05085554-0ffa-4eaf-947a-36c3b366e666">
      <Url>https://sp.zhonglun.com/sites/document10/NonViolation/_layouts/DocIdRedir.aspx?ID=U7MTSZU7ZE52-15669-32</Url>
      <Description>U7MTSZU7ZE52-15669-32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EE5355E95043B448535C802F453CEB0" ma:contentTypeVersion="0" ma:contentTypeDescription="新建文档。" ma:contentTypeScope="" ma:versionID="5679587071bee4a3745974bb2a030fa2">
  <xsd:schema xmlns:xsd="http://www.w3.org/2001/XMLSchema" xmlns:xs="http://www.w3.org/2001/XMLSchema" xmlns:p="http://schemas.microsoft.com/office/2006/metadata/properties" xmlns:ns2="05085554-0ffa-4eaf-947a-36c3b366e666" targetNamespace="http://schemas.microsoft.com/office/2006/metadata/properties" ma:root="true" ma:fieldsID="b68532f5231ee06e716e13fba087e94a" ns2:_="">
    <xsd:import namespace="05085554-0ffa-4eaf-947a-36c3b366e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85554-0ffa-4eaf-947a-36c3b366e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E08A5-B7ED-4171-A28B-03ACF58EF09F}">
  <ds:schemaRefs>
    <ds:schemaRef ds:uri="http://schemas.microsoft.com/office/2006/metadata/properties"/>
    <ds:schemaRef ds:uri="http://schemas.microsoft.com/office/infopath/2007/PartnerControls"/>
    <ds:schemaRef ds:uri="05085554-0ffa-4eaf-947a-36c3b366e666"/>
  </ds:schemaRefs>
</ds:datastoreItem>
</file>

<file path=customXml/itemProps2.xml><?xml version="1.0" encoding="utf-8"?>
<ds:datastoreItem xmlns:ds="http://schemas.openxmlformats.org/officeDocument/2006/customXml" ds:itemID="{63FBA0D7-D31F-4C11-9E47-C501D944D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85554-0ffa-4eaf-947a-36c3b366e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EA2C3-2940-48A7-964F-16B59F7063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5D946F-5950-48C2-B7F6-78B2B3CDD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ZL</cp:lastModifiedBy>
  <cp:revision>26</cp:revision>
  <dcterms:created xsi:type="dcterms:W3CDTF">2018-09-29T02:33:00Z</dcterms:created>
  <dcterms:modified xsi:type="dcterms:W3CDTF">2021-11-17T13:03:00Z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05c0c60a-1fd4-4f30-ae67-cad62b74d362</vt:lpwstr>
  </property>
  <property fmtid="{D5CDD505-2E9C-101B-9397-08002B2CF9AE}" pid="3" name="ContentTypeId">
    <vt:lpwstr>0x0101008EE5355E95043B448535C802F453CEB0</vt:lpwstr>
  </property>
</Properties>
</file>