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黑体" w:cs="Times New Roman"/>
          <w:bCs/>
          <w:color w:val="000000"/>
          <w:kern w:val="2"/>
          <w:sz w:val="52"/>
          <w:szCs w:val="52"/>
        </w:rPr>
      </w:pPr>
      <w:r>
        <w:rPr>
          <w:rFonts w:hint="default" w:ascii="Times New Roman" w:hAnsi="Times New Roman" w:eastAsia="黑体" w:cs="Times New Roman"/>
          <w:bCs/>
          <w:color w:val="000000"/>
          <w:spacing w:val="30"/>
          <w:kern w:val="0"/>
          <w:sz w:val="52"/>
          <w:szCs w:val="52"/>
          <w:fitText w:val="5742" w:id="972384512"/>
        </w:rPr>
        <w:t>国家市场监督管理总</w:t>
      </w:r>
      <w:r>
        <w:rPr>
          <w:rFonts w:hint="default" w:ascii="Times New Roman" w:hAnsi="Times New Roman" w:eastAsia="黑体" w:cs="Times New Roman"/>
          <w:bCs/>
          <w:color w:val="000000"/>
          <w:spacing w:val="1"/>
          <w:kern w:val="0"/>
          <w:sz w:val="52"/>
          <w:szCs w:val="52"/>
          <w:fitText w:val="5742" w:id="972384512"/>
        </w:rPr>
        <w:t>局</w:t>
      </w:r>
    </w:p>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仿宋_GB2312" w:cs="Times New Roman"/>
          <w:color w:val="000000"/>
          <w:kern w:val="2"/>
          <w:sz w:val="44"/>
          <w:szCs w:val="44"/>
        </w:rPr>
      </w:pPr>
      <w:r>
        <w:rPr>
          <w:rFonts w:hint="default" w:ascii="Times New Roman" w:hAnsi="Times New Roman" w:eastAsia="黑体" w:cs="Times New Roman"/>
          <w:bCs/>
          <w:color w:val="000000"/>
          <w:spacing w:val="175"/>
          <w:kern w:val="0"/>
          <w:sz w:val="52"/>
          <w:szCs w:val="52"/>
          <w:fitText w:val="5742" w:id="1"/>
        </w:rPr>
        <w:t>行政处罚决定</w:t>
      </w:r>
      <w:r>
        <w:rPr>
          <w:rFonts w:hint="default" w:ascii="Times New Roman" w:hAnsi="Times New Roman" w:eastAsia="黑体" w:cs="Times New Roman"/>
          <w:bCs/>
          <w:color w:val="000000"/>
          <w:spacing w:val="1"/>
          <w:kern w:val="0"/>
          <w:sz w:val="52"/>
          <w:szCs w:val="52"/>
          <w:fitText w:val="5742" w:id="1"/>
        </w:rPr>
        <w:t>书</w:t>
      </w:r>
    </w:p>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国市监处</w:t>
      </w:r>
      <w:r>
        <w:rPr>
          <w:rFonts w:hint="eastAsia" w:ascii="Times New Roman" w:hAnsi="Times New Roman" w:eastAsia="仿宋_GB2312" w:cs="Times New Roman"/>
          <w:kern w:val="2"/>
          <w:sz w:val="32"/>
          <w:szCs w:val="32"/>
          <w:lang w:eastAsia="zh-CN"/>
        </w:rPr>
        <w:t>罚</w:t>
      </w: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eastAsia" w:eastAsia="仿宋_GB2312" w:cs="Times New Roman"/>
          <w:kern w:val="2"/>
          <w:sz w:val="32"/>
          <w:szCs w:val="32"/>
          <w:lang w:val="en-US" w:eastAsia="zh-CN"/>
        </w:rPr>
        <w:t>83</w:t>
      </w:r>
      <w:r>
        <w:rPr>
          <w:rFonts w:hint="default" w:ascii="Times New Roman" w:hAnsi="Times New Roman" w:eastAsia="仿宋_GB2312" w:cs="Times New Roman"/>
          <w:kern w:val="2"/>
          <w:sz w:val="32"/>
          <w:szCs w:val="32"/>
        </w:rPr>
        <w:t>号</w:t>
      </w:r>
    </w:p>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仿宋_GB2312" w:cs="Times New Roman"/>
          <w:kern w:val="2"/>
          <w:sz w:val="28"/>
          <w:szCs w:val="28"/>
        </w:rPr>
      </w:pPr>
    </w:p>
    <w:p>
      <w:pPr>
        <w:pStyle w:val="3"/>
        <w:ind w:left="0" w:leftChars="0" w:firstLine="619" w:firstLineChars="197"/>
        <w:rPr>
          <w:rFonts w:hint="default" w:ascii="Times New Roman" w:hAnsi="Times New Roman" w:eastAsia="仿宋_GB2312" w:cs="Times New Roman"/>
          <w:sz w:val="32"/>
          <w:lang w:val="en-US" w:eastAsia="zh-CN"/>
        </w:rPr>
      </w:pPr>
      <w:r>
        <w:rPr>
          <w:rFonts w:hint="default" w:ascii="黑体" w:hAnsi="黑体" w:eastAsia="黑体" w:cs="黑体"/>
          <w:kern w:val="2"/>
          <w:sz w:val="32"/>
          <w:szCs w:val="32"/>
        </w:rPr>
        <w:t>当事人：</w:t>
      </w:r>
      <w:r>
        <w:rPr>
          <w:rFonts w:hint="default" w:ascii="Times New Roman" w:hAnsi="Times New Roman" w:eastAsia="仿宋_GB2312" w:cs="Times New Roman"/>
          <w:bCs/>
          <w:sz w:val="32"/>
          <w:szCs w:val="32"/>
          <w:highlight w:val="none"/>
          <w:lang w:val="en-US" w:eastAsia="zh-CN"/>
        </w:rPr>
        <w:t>北京量子跃动科技有限公司</w:t>
      </w:r>
    </w:p>
    <w:p>
      <w:pPr>
        <w:pStyle w:val="3"/>
        <w:ind w:left="0" w:leftChars="0" w:firstLine="619" w:firstLineChars="197"/>
        <w:rPr>
          <w:rFonts w:hint="default" w:ascii="Times New Roman" w:hAnsi="Times New Roman" w:eastAsia="仿宋_GB2312" w:cs="Times New Roman"/>
          <w:kern w:val="2"/>
          <w:sz w:val="32"/>
          <w:szCs w:val="32"/>
          <w:lang w:val="en-US" w:eastAsia="zh-CN"/>
        </w:rPr>
      </w:pPr>
      <w:r>
        <w:rPr>
          <w:rFonts w:hint="default" w:ascii="黑体" w:hAnsi="黑体" w:eastAsia="黑体" w:cs="黑体"/>
          <w:kern w:val="2"/>
          <w:sz w:val="32"/>
          <w:szCs w:val="32"/>
        </w:rPr>
        <w:t>住  所：</w:t>
      </w:r>
      <w:r>
        <w:rPr>
          <w:rFonts w:hint="default" w:ascii="Times New Roman" w:hAnsi="Times New Roman" w:eastAsia="仿宋_GB2312" w:cs="Times New Roman"/>
          <w:kern w:val="2"/>
          <w:sz w:val="32"/>
          <w:szCs w:val="32"/>
        </w:rPr>
        <w:t>北京市海淀区紫金数码园4号楼15层1503</w:t>
      </w:r>
      <w:r>
        <w:rPr>
          <w:rFonts w:hint="default" w:ascii="Times New Roman" w:hAnsi="Times New Roman" w:eastAsia="仿宋_GB2312" w:cs="Times New Roman"/>
          <w:sz w:val="32"/>
          <w:lang w:val="en-US" w:eastAsia="zh-CN"/>
        </w:rPr>
        <w:t xml:space="preserve"> </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根据《中华人民共和国反垄断法》（以下简称《反垄断法》）《经营者集中审查暂行规定》，本机关于</w:t>
      </w:r>
      <w:r>
        <w:rPr>
          <w:rFonts w:hint="default" w:ascii="Times New Roman" w:hAnsi="Times New Roman" w:eastAsia="仿宋_GB2312" w:cs="Times New Roman"/>
          <w:sz w:val="32"/>
          <w:szCs w:val="32"/>
          <w:lang w:val="en-US" w:eastAsia="zh-CN"/>
        </w:rPr>
        <w:t>2021年</w:t>
      </w:r>
      <w:r>
        <w:rPr>
          <w:rFonts w:hint="eastAsia" w:ascii="Times New Roman" w:hAnsi="Times New Roman" w:eastAsia="仿宋_GB2312" w:cs="Times New Roman"/>
          <w:color w:val="auto"/>
          <w:sz w:val="32"/>
          <w:lang w:val="en-US" w:eastAsia="zh-CN"/>
        </w:rPr>
        <w:t>8</w:t>
      </w:r>
      <w:r>
        <w:rPr>
          <w:rFonts w:hint="default" w:ascii="Times New Roman" w:hAnsi="Times New Roman" w:eastAsia="仿宋_GB2312" w:cs="Times New Roman"/>
          <w:color w:val="auto"/>
          <w:sz w:val="32"/>
          <w:lang w:val="en-US" w:eastAsia="zh-CN"/>
        </w:rPr>
        <w:t>月1</w:t>
      </w: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lang w:val="en-US" w:eastAsia="zh-CN"/>
        </w:rPr>
        <w:t>日</w:t>
      </w:r>
      <w:r>
        <w:rPr>
          <w:rFonts w:hint="default" w:ascii="Times New Roman" w:hAnsi="Times New Roman" w:eastAsia="仿宋_GB2312" w:cs="Times New Roman"/>
          <w:sz w:val="32"/>
          <w:szCs w:val="32"/>
          <w:lang w:eastAsia="zh-CN"/>
        </w:rPr>
        <w:t>对</w:t>
      </w:r>
      <w:bookmarkStart w:id="0" w:name="OLE_LINK41"/>
      <w:r>
        <w:rPr>
          <w:rFonts w:hint="default" w:ascii="Times New Roman" w:hAnsi="Times New Roman" w:eastAsia="仿宋_GB2312" w:cs="Times New Roman"/>
          <w:bCs/>
          <w:sz w:val="32"/>
          <w:szCs w:val="32"/>
          <w:highlight w:val="none"/>
          <w:lang w:val="en-US" w:eastAsia="zh-CN"/>
        </w:rPr>
        <w:t>北京量子跃动科技有限公司（</w:t>
      </w:r>
      <w:r>
        <w:rPr>
          <w:rFonts w:hint="default" w:ascii="Times New Roman" w:hAnsi="Times New Roman" w:eastAsia="仿宋_GB2312" w:cs="Times New Roman"/>
          <w:kern w:val="2"/>
          <w:sz w:val="32"/>
          <w:szCs w:val="32"/>
          <w:lang w:val="en-US" w:eastAsia="zh-CN" w:bidi="ar-SA"/>
        </w:rPr>
        <w:t>以下简称</w:t>
      </w:r>
      <w:r>
        <w:rPr>
          <w:rFonts w:hint="default" w:ascii="Times New Roman" w:hAnsi="Times New Roman" w:eastAsia="仿宋_GB2312" w:cs="Times New Roman"/>
          <w:bCs/>
          <w:sz w:val="32"/>
          <w:szCs w:val="32"/>
          <w:highlight w:val="none"/>
          <w:lang w:val="en-US" w:eastAsia="zh-CN"/>
        </w:rPr>
        <w:t>量子跃动）收购深圳市云动创想科技有限公司</w:t>
      </w:r>
      <w:r>
        <w:rPr>
          <w:rFonts w:hint="default" w:ascii="Times New Roman" w:hAnsi="Times New Roman" w:eastAsia="仿宋_GB2312" w:cs="Times New Roman"/>
          <w:kern w:val="2"/>
          <w:sz w:val="32"/>
          <w:szCs w:val="32"/>
          <w:lang w:val="en-US" w:eastAsia="zh-CN" w:bidi="ar-SA"/>
        </w:rPr>
        <w:t>（以下简称</w:t>
      </w:r>
      <w:r>
        <w:rPr>
          <w:rFonts w:hint="default" w:ascii="Times New Roman" w:hAnsi="Times New Roman" w:eastAsia="仿宋_GB2312" w:cs="Times New Roman"/>
          <w:bCs/>
          <w:sz w:val="32"/>
          <w:szCs w:val="32"/>
          <w:highlight w:val="none"/>
          <w:lang w:val="en-US" w:eastAsia="zh-CN"/>
        </w:rPr>
        <w:t>云动创想</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bCs/>
          <w:sz w:val="32"/>
          <w:szCs w:val="32"/>
          <w:highlight w:val="none"/>
          <w:lang w:val="en-US" w:eastAsia="zh-CN"/>
        </w:rPr>
        <w:t>股权</w:t>
      </w:r>
      <w:bookmarkEnd w:id="0"/>
      <w:r>
        <w:rPr>
          <w:rFonts w:hint="default" w:ascii="Times New Roman" w:hAnsi="Times New Roman" w:eastAsia="仿宋_GB2312" w:cs="Times New Roman"/>
          <w:sz w:val="32"/>
        </w:rPr>
        <w:t>涉嫌</w:t>
      </w:r>
      <w:r>
        <w:rPr>
          <w:rFonts w:hint="eastAsia" w:ascii="Times New Roman" w:hAnsi="Times New Roman" w:eastAsia="仿宋_GB2312" w:cs="Times New Roman"/>
          <w:sz w:val="32"/>
          <w:lang w:eastAsia="zh-CN"/>
        </w:rPr>
        <w:t>未依法申报</w:t>
      </w:r>
      <w:r>
        <w:rPr>
          <w:rFonts w:hint="default" w:ascii="Times New Roman" w:hAnsi="Times New Roman" w:eastAsia="仿宋_GB2312" w:cs="Times New Roman"/>
          <w:sz w:val="32"/>
        </w:rPr>
        <w:t>违法实施经营者集中案</w:t>
      </w:r>
      <w:r>
        <w:rPr>
          <w:rFonts w:hint="default" w:ascii="Times New Roman" w:hAnsi="Times New Roman" w:eastAsia="仿宋_GB2312" w:cs="Times New Roman"/>
          <w:kern w:val="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经查，该案构成</w:t>
      </w:r>
      <w:r>
        <w:rPr>
          <w:rFonts w:hint="eastAsia" w:ascii="Times New Roman" w:hAnsi="Times New Roman" w:eastAsia="仿宋_GB2312" w:cs="Times New Roman"/>
          <w:kern w:val="2"/>
          <w:sz w:val="32"/>
          <w:szCs w:val="32"/>
          <w:lang w:eastAsia="zh-CN"/>
        </w:rPr>
        <w:t>未依法申报</w:t>
      </w:r>
      <w:r>
        <w:rPr>
          <w:rFonts w:hint="default" w:ascii="Times New Roman" w:hAnsi="Times New Roman" w:eastAsia="仿宋_GB2312" w:cs="Times New Roman"/>
          <w:kern w:val="2"/>
          <w:sz w:val="32"/>
          <w:szCs w:val="32"/>
        </w:rPr>
        <w:t>违法实施的经营者集中，但不具有排除、限制竞争的效果。本机关按照《</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（以下简称</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rPr>
        <w:t>的规定，向</w:t>
      </w:r>
      <w:r>
        <w:rPr>
          <w:rFonts w:hint="default" w:ascii="Times New Roman" w:hAnsi="Times New Roman" w:eastAsia="仿宋_GB2312" w:cs="Times New Roman"/>
          <w:bCs/>
          <w:sz w:val="32"/>
          <w:szCs w:val="32"/>
          <w:highlight w:val="none"/>
          <w:lang w:val="en-US" w:eastAsia="zh-CN"/>
        </w:rPr>
        <w:t>量子跃动</w:t>
      </w:r>
      <w:r>
        <w:rPr>
          <w:rFonts w:hint="default" w:ascii="Times New Roman" w:hAnsi="Times New Roman" w:eastAsia="仿宋_GB2312" w:cs="Times New Roman"/>
          <w:kern w:val="2"/>
          <w:sz w:val="32"/>
          <w:szCs w:val="32"/>
        </w:rPr>
        <w:t>送达了《行政处罚告知书》，告知其拟作出行政处罚决定的事实、理由、证据、处罚内容，以及其依法享有的陈述权、申辩权和要求听证权。</w:t>
      </w:r>
      <w:r>
        <w:rPr>
          <w:rFonts w:hint="default" w:ascii="Times New Roman" w:hAnsi="Times New Roman" w:eastAsia="仿宋_GB2312" w:cs="Times New Roman"/>
          <w:bCs/>
          <w:sz w:val="32"/>
          <w:szCs w:val="32"/>
          <w:highlight w:val="none"/>
          <w:lang w:val="en-US" w:eastAsia="zh-CN"/>
        </w:rPr>
        <w:t>量子跃动</w:t>
      </w:r>
      <w:r>
        <w:rPr>
          <w:rFonts w:hint="default" w:ascii="Times New Roman" w:hAnsi="Times New Roman" w:eastAsia="仿宋_GB2312" w:cs="Times New Roman"/>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（一）交易方。</w:t>
      </w:r>
    </w:p>
    <w:p>
      <w:pPr>
        <w:pStyle w:val="9"/>
        <w:pageBreakBefore w:val="0"/>
        <w:widowControl w:val="0"/>
        <w:kinsoku/>
        <w:wordWrap/>
        <w:topLinePunct w:val="0"/>
        <w:bidi w:val="0"/>
        <w:spacing w:line="600" w:lineRule="exact"/>
        <w:ind w:left="0" w:firstLine="643"/>
        <w:textAlignment w:val="auto"/>
        <w:rPr>
          <w:rFonts w:hint="default" w:ascii="Times New Roman" w:hAnsi="Times New Roman" w:cs="Times New Roman"/>
          <w:b w:val="0"/>
          <w:bCs/>
          <w:u w:val="none"/>
          <w:lang w:eastAsia="zh-CN"/>
        </w:rPr>
      </w:pPr>
      <w:bookmarkStart w:id="1" w:name="OLE_LINK49"/>
      <w:r>
        <w:rPr>
          <w:rFonts w:hint="default" w:ascii="Times New Roman" w:hAnsi="Times New Roman" w:cs="Times New Roman"/>
          <w:b/>
          <w:u w:val="none"/>
          <w:lang w:eastAsia="zh-CN"/>
        </w:rPr>
        <w:t>收购方：量子跃动。</w:t>
      </w:r>
      <w:r>
        <w:rPr>
          <w:rFonts w:hint="default" w:ascii="Times New Roman" w:hAnsi="Times New Roman" w:cs="Times New Roman"/>
          <w:b w:val="0"/>
          <w:bCs/>
          <w:u w:val="none"/>
          <w:lang w:eastAsia="zh-CN"/>
        </w:rPr>
        <w:t>201</w:t>
      </w:r>
      <w:r>
        <w:rPr>
          <w:rFonts w:hint="default" w:ascii="Times New Roman" w:hAnsi="Times New Roman" w:cs="Times New Roman"/>
          <w:b w:val="0"/>
          <w:bCs/>
          <w:u w:val="none"/>
          <w:lang w:val="en-US" w:eastAsia="zh-CN"/>
        </w:rPr>
        <w:t>8</w:t>
      </w:r>
      <w:r>
        <w:rPr>
          <w:rFonts w:hint="default" w:ascii="Times New Roman" w:hAnsi="Times New Roman" w:cs="Times New Roman"/>
          <w:b w:val="0"/>
          <w:bCs/>
          <w:u w:val="none"/>
          <w:lang w:eastAsia="zh-CN"/>
        </w:rPr>
        <w:t>年于北京市注册成立，</w:t>
      </w:r>
      <w:r>
        <w:rPr>
          <w:rFonts w:hint="eastAsia" w:ascii="Times New Roman" w:hAnsi="Times New Roman" w:cs="Times New Roman"/>
          <w:b w:val="0"/>
          <w:bCs/>
          <w:u w:val="none"/>
          <w:lang w:eastAsia="zh-CN"/>
        </w:rPr>
        <w:t>最终控制人为字节跳动有限公司，</w:t>
      </w:r>
      <w:r>
        <w:rPr>
          <w:rFonts w:hint="default" w:ascii="Times New Roman" w:hAnsi="Times New Roman" w:cs="Times New Roman"/>
          <w:b w:val="0"/>
          <w:bCs/>
          <w:u w:val="none"/>
          <w:lang w:eastAsia="zh-CN"/>
        </w:rPr>
        <w:t>主要从事</w:t>
      </w:r>
      <w:bookmarkStart w:id="2" w:name="OLE_LINK21"/>
      <w:r>
        <w:rPr>
          <w:rFonts w:hint="eastAsia" w:ascii="Times New Roman" w:hAnsi="Times New Roman" w:cs="Times New Roman"/>
          <w:b w:val="0"/>
          <w:bCs/>
          <w:u w:val="none"/>
          <w:lang w:eastAsia="zh-CN"/>
        </w:rPr>
        <w:t>经营技术开发、互联网文化活动、</w:t>
      </w:r>
      <w:r>
        <w:rPr>
          <w:rFonts w:hint="default" w:ascii="Times New Roman" w:hAnsi="Times New Roman" w:cs="Times New Roman"/>
          <w:b w:val="0"/>
          <w:bCs/>
          <w:u w:val="none"/>
          <w:lang w:eastAsia="zh-CN"/>
        </w:rPr>
        <w:t>互联网软件服务与咨询业务</w:t>
      </w:r>
      <w:bookmarkEnd w:id="2"/>
      <w:r>
        <w:rPr>
          <w:rFonts w:hint="default" w:ascii="Times New Roman" w:hAnsi="Times New Roman" w:cs="Times New Roman"/>
          <w:b w:val="0"/>
          <w:bCs/>
          <w:u w:val="none"/>
          <w:lang w:eastAsia="zh-CN"/>
        </w:rPr>
        <w:t>。201</w:t>
      </w:r>
      <w:r>
        <w:rPr>
          <w:rFonts w:hint="default" w:ascii="Times New Roman" w:hAnsi="Times New Roman" w:cs="Times New Roman"/>
          <w:b w:val="0"/>
          <w:bCs/>
          <w:u w:val="none"/>
          <w:lang w:val="en-US" w:eastAsia="zh-CN"/>
        </w:rPr>
        <w:t>8</w:t>
      </w:r>
      <w:r>
        <w:rPr>
          <w:rFonts w:hint="default" w:ascii="Times New Roman" w:hAnsi="Times New Roman" w:cs="Times New Roman"/>
          <w:b w:val="0"/>
          <w:bCs/>
          <w:u w:val="none"/>
          <w:lang w:eastAsia="zh-CN"/>
        </w:rPr>
        <w:t>年，全球和中国境内营业额分别为</w:t>
      </w:r>
      <w:r>
        <w:rPr>
          <w:rFonts w:hint="eastAsia" w:ascii="Times New Roman" w:hAnsi="Times New Roman" w:eastAsia="仿宋" w:cs="Times New Roman"/>
          <w:szCs w:val="21"/>
          <w:lang w:val="en-US" w:eastAsia="zh-CN"/>
        </w:rPr>
        <w:t>（略）</w:t>
      </w:r>
      <w:r>
        <w:rPr>
          <w:rFonts w:hint="default" w:ascii="Times New Roman" w:hAnsi="Times New Roman" w:cs="Times New Roman"/>
          <w:b w:val="0"/>
          <w:bCs/>
          <w:u w:val="none"/>
          <w:lang w:eastAsia="zh-CN"/>
        </w:rPr>
        <w:t>。</w:t>
      </w:r>
    </w:p>
    <w:p>
      <w:pPr>
        <w:pStyle w:val="9"/>
        <w:pageBreakBefore w:val="0"/>
        <w:widowControl w:val="0"/>
        <w:kinsoku/>
        <w:wordWrap/>
        <w:topLinePunct w:val="0"/>
        <w:bidi w:val="0"/>
        <w:spacing w:line="600" w:lineRule="exact"/>
        <w:ind w:left="0" w:firstLine="643"/>
        <w:textAlignment w:val="auto"/>
        <w:rPr>
          <w:rFonts w:hint="default" w:ascii="Times New Roman" w:hAnsi="Times New Roman" w:cs="Times New Roman"/>
          <w:b w:val="0"/>
          <w:bCs/>
          <w:u w:val="none"/>
          <w:lang w:eastAsia="zh-CN"/>
        </w:rPr>
      </w:pPr>
      <w:r>
        <w:rPr>
          <w:rFonts w:hint="default" w:ascii="Times New Roman" w:hAnsi="Times New Roman" w:cs="Times New Roman"/>
          <w:b/>
          <w:u w:val="none"/>
          <w:lang w:eastAsia="zh-CN"/>
        </w:rPr>
        <w:t>被收购方：</w:t>
      </w:r>
      <w:bookmarkEnd w:id="1"/>
      <w:r>
        <w:rPr>
          <w:rFonts w:hint="default" w:ascii="Times New Roman" w:hAnsi="Times New Roman" w:cs="Times New Roman"/>
          <w:b/>
          <w:u w:val="none"/>
          <w:lang w:eastAsia="zh-CN"/>
        </w:rPr>
        <w:t>云动创想。</w:t>
      </w:r>
      <w:r>
        <w:rPr>
          <w:rFonts w:hint="default" w:ascii="Times New Roman" w:hAnsi="Times New Roman" w:cs="Times New Roman"/>
          <w:b w:val="0"/>
          <w:bCs/>
          <w:u w:val="none"/>
          <w:lang w:eastAsia="zh-CN"/>
        </w:rPr>
        <w:t>201</w:t>
      </w:r>
      <w:r>
        <w:rPr>
          <w:rFonts w:hint="default" w:ascii="Times New Roman" w:hAnsi="Times New Roman" w:cs="Times New Roman"/>
          <w:b w:val="0"/>
          <w:bCs/>
          <w:u w:val="none"/>
          <w:lang w:val="en-US" w:eastAsia="zh-CN"/>
        </w:rPr>
        <w:t>0</w:t>
      </w:r>
      <w:r>
        <w:rPr>
          <w:rFonts w:hint="default" w:ascii="Times New Roman" w:hAnsi="Times New Roman" w:cs="Times New Roman"/>
          <w:b w:val="0"/>
          <w:bCs/>
          <w:u w:val="none"/>
          <w:lang w:eastAsia="zh-CN"/>
        </w:rPr>
        <w:t>年于广东省深圳市注册成立，主要从事音箱相关业务。201</w:t>
      </w:r>
      <w:r>
        <w:rPr>
          <w:rFonts w:hint="default" w:ascii="Times New Roman" w:hAnsi="Times New Roman" w:cs="Times New Roman"/>
          <w:b w:val="0"/>
          <w:bCs/>
          <w:u w:val="none"/>
          <w:lang w:val="en-US" w:eastAsia="zh-CN"/>
        </w:rPr>
        <w:t>8</w:t>
      </w:r>
      <w:r>
        <w:rPr>
          <w:rFonts w:hint="default" w:ascii="Times New Roman" w:hAnsi="Times New Roman" w:cs="Times New Roman"/>
          <w:b w:val="0"/>
          <w:bCs/>
          <w:u w:val="none"/>
          <w:lang w:eastAsia="zh-CN"/>
        </w:rPr>
        <w:t>年，全球和中国境内营业额均为</w:t>
      </w:r>
      <w:r>
        <w:rPr>
          <w:rFonts w:hint="eastAsia" w:ascii="Times New Roman" w:hAnsi="Times New Roman" w:cs="Times New Roman"/>
          <w:b w:val="0"/>
          <w:bCs/>
          <w:u w:val="none"/>
          <w:lang w:val="en-US" w:eastAsia="zh-CN"/>
        </w:rPr>
        <w:t>（略）</w:t>
      </w:r>
      <w:r>
        <w:rPr>
          <w:rFonts w:hint="default" w:ascii="Times New Roman" w:hAnsi="Times New Roman" w:cs="Times New Roman"/>
          <w:b w:val="0"/>
          <w:bCs/>
          <w:u w:val="none"/>
          <w:lang w:eastAsia="zh-CN"/>
        </w:rPr>
        <w:t>。</w:t>
      </w:r>
    </w:p>
    <w:p>
      <w:pPr>
        <w:pStyle w:val="9"/>
        <w:pageBreakBefore w:val="0"/>
        <w:widowControl w:val="0"/>
        <w:kinsoku/>
        <w:wordWrap/>
        <w:topLinePunct w:val="0"/>
        <w:bidi w:val="0"/>
        <w:spacing w:line="600" w:lineRule="exact"/>
        <w:ind w:left="0" w:firstLine="643"/>
        <w:textAlignment w:val="auto"/>
        <w:rPr>
          <w:rFonts w:hint="default" w:ascii="Times New Roman" w:hAnsi="Times New Roman" w:cs="Times New Roman"/>
          <w:b w:val="0"/>
          <w:bCs/>
          <w:u w:val="none"/>
          <w:lang w:eastAsia="zh-CN"/>
        </w:rPr>
      </w:pPr>
      <w:r>
        <w:rPr>
          <w:rFonts w:hint="default" w:ascii="Times New Roman" w:hAnsi="Times New Roman" w:cs="Times New Roman"/>
          <w:b/>
          <w:u w:val="none"/>
          <w:lang w:eastAsia="zh-CN"/>
        </w:rPr>
        <w:t>被收购方股东一：江苏京东邦能投资管理有限公司（以下简称京东邦能）。</w:t>
      </w:r>
      <w:r>
        <w:rPr>
          <w:rFonts w:hint="default" w:ascii="Times New Roman" w:hAnsi="Times New Roman" w:cs="Times New Roman"/>
          <w:b w:val="0"/>
          <w:bCs/>
          <w:u w:val="none"/>
          <w:lang w:eastAsia="zh-CN"/>
        </w:rPr>
        <w:t>201</w:t>
      </w:r>
      <w:r>
        <w:rPr>
          <w:rFonts w:hint="default" w:ascii="Times New Roman" w:hAnsi="Times New Roman" w:cs="Times New Roman"/>
          <w:b w:val="0"/>
          <w:bCs/>
          <w:u w:val="none"/>
          <w:lang w:val="en-US" w:eastAsia="zh-CN"/>
        </w:rPr>
        <w:t>5</w:t>
      </w:r>
      <w:r>
        <w:rPr>
          <w:rFonts w:hint="default" w:ascii="Times New Roman" w:hAnsi="Times New Roman" w:cs="Times New Roman"/>
          <w:b w:val="0"/>
          <w:bCs/>
          <w:u w:val="none"/>
          <w:lang w:eastAsia="zh-CN"/>
        </w:rPr>
        <w:t>年于江苏省宿迁市注册成立，</w:t>
      </w:r>
      <w:r>
        <w:rPr>
          <w:rFonts w:hint="eastAsia" w:ascii="Times New Roman" w:hAnsi="Times New Roman" w:cs="Times New Roman"/>
          <w:b w:val="0"/>
          <w:bCs/>
          <w:u w:val="none"/>
          <w:lang w:eastAsia="zh-CN"/>
        </w:rPr>
        <w:t>最终控制人为京东集团股份有限公司，</w:t>
      </w:r>
      <w:r>
        <w:rPr>
          <w:rFonts w:hint="default" w:ascii="Times New Roman" w:hAnsi="Times New Roman" w:cs="Times New Roman"/>
          <w:b w:val="0"/>
          <w:bCs/>
          <w:u w:val="none"/>
          <w:lang w:eastAsia="zh-CN"/>
        </w:rPr>
        <w:t>主要从事</w:t>
      </w:r>
      <w:r>
        <w:rPr>
          <w:rFonts w:hint="eastAsia" w:ascii="Times New Roman" w:hAnsi="Times New Roman" w:cs="Times New Roman"/>
          <w:b w:val="0"/>
          <w:bCs/>
          <w:u w:val="none"/>
          <w:lang w:eastAsia="zh-CN"/>
        </w:rPr>
        <w:t>电子商务、物流</w:t>
      </w:r>
      <w:r>
        <w:rPr>
          <w:rFonts w:hint="default" w:ascii="Times New Roman" w:hAnsi="Times New Roman" w:cs="Times New Roman"/>
          <w:b w:val="0"/>
          <w:bCs/>
          <w:u w:val="none"/>
          <w:lang w:eastAsia="zh-CN"/>
        </w:rPr>
        <w:t>相关业务。201</w:t>
      </w:r>
      <w:r>
        <w:rPr>
          <w:rFonts w:hint="default" w:ascii="Times New Roman" w:hAnsi="Times New Roman" w:cs="Times New Roman"/>
          <w:b w:val="0"/>
          <w:bCs/>
          <w:u w:val="none"/>
          <w:lang w:val="en-US" w:eastAsia="zh-CN"/>
        </w:rPr>
        <w:t>8</w:t>
      </w:r>
      <w:r>
        <w:rPr>
          <w:rFonts w:hint="default" w:ascii="Times New Roman" w:hAnsi="Times New Roman" w:cs="Times New Roman"/>
          <w:b w:val="0"/>
          <w:bCs/>
          <w:u w:val="none"/>
          <w:lang w:eastAsia="zh-CN"/>
        </w:rPr>
        <w:t>年，全球和中国境内营业额分别为</w:t>
      </w:r>
      <w:r>
        <w:rPr>
          <w:rFonts w:hint="eastAsia" w:ascii="Times New Roman" w:hAnsi="Times New Roman" w:cs="Times New Roman"/>
          <w:b w:val="0"/>
          <w:bCs/>
          <w:u w:val="none"/>
          <w:lang w:val="en-US" w:eastAsia="zh-CN"/>
        </w:rPr>
        <w:t>（略）</w:t>
      </w:r>
      <w:r>
        <w:rPr>
          <w:rFonts w:hint="default" w:ascii="Times New Roman" w:hAnsi="Times New Roman" w:cs="Times New Roman"/>
          <w:b w:val="0"/>
          <w:bCs/>
          <w:u w:val="none"/>
          <w:lang w:eastAsia="zh-CN"/>
        </w:rPr>
        <w:t>。</w:t>
      </w:r>
    </w:p>
    <w:p>
      <w:pPr>
        <w:pStyle w:val="9"/>
        <w:pageBreakBefore w:val="0"/>
        <w:widowControl w:val="0"/>
        <w:kinsoku/>
        <w:wordWrap/>
        <w:topLinePunct w:val="0"/>
        <w:bidi w:val="0"/>
        <w:spacing w:line="600" w:lineRule="exact"/>
        <w:ind w:left="0" w:firstLine="643"/>
        <w:textAlignment w:val="auto"/>
        <w:rPr>
          <w:rFonts w:hint="default" w:ascii="Times New Roman" w:hAnsi="Times New Roman" w:cs="Times New Roman"/>
          <w:b w:val="0"/>
          <w:bCs/>
          <w:u w:val="none"/>
          <w:lang w:eastAsia="zh-CN"/>
        </w:rPr>
      </w:pPr>
      <w:r>
        <w:rPr>
          <w:rFonts w:hint="default" w:ascii="Times New Roman" w:hAnsi="Times New Roman" w:cs="Times New Roman"/>
          <w:b/>
          <w:u w:val="none"/>
          <w:lang w:eastAsia="zh-CN"/>
        </w:rPr>
        <w:t>被收购方股东二：自然人曾德钧。</w:t>
      </w:r>
      <w:r>
        <w:rPr>
          <w:rFonts w:hint="default" w:ascii="Times New Roman" w:hAnsi="Times New Roman" w:cs="Times New Roman"/>
          <w:b w:val="0"/>
          <w:bCs/>
          <w:u w:val="none"/>
          <w:lang w:eastAsia="zh-CN"/>
        </w:rPr>
        <w:t>云动创想创始人兼</w:t>
      </w:r>
      <w:r>
        <w:rPr>
          <w:rFonts w:hint="default" w:ascii="Times New Roman" w:hAnsi="Times New Roman" w:cs="Times New Roman"/>
          <w:b w:val="0"/>
          <w:bCs/>
          <w:u w:val="none"/>
          <w:lang w:val="en-US" w:eastAsia="zh-CN"/>
        </w:rPr>
        <w:t>CEO，</w:t>
      </w:r>
      <w:r>
        <w:rPr>
          <w:rFonts w:hint="default" w:ascii="Times New Roman" w:hAnsi="Times New Roman" w:cs="Times New Roman"/>
          <w:b w:val="0"/>
          <w:bCs/>
          <w:u w:val="none"/>
          <w:lang w:eastAsia="zh-CN"/>
        </w:rPr>
        <w:t>中国籍自然人。201</w:t>
      </w:r>
      <w:r>
        <w:rPr>
          <w:rFonts w:hint="default" w:ascii="Times New Roman" w:hAnsi="Times New Roman" w:cs="Times New Roman"/>
          <w:b w:val="0"/>
          <w:bCs/>
          <w:u w:val="none"/>
          <w:lang w:val="en-US" w:eastAsia="zh-CN"/>
        </w:rPr>
        <w:t>8</w:t>
      </w:r>
      <w:r>
        <w:rPr>
          <w:rFonts w:hint="default" w:ascii="Times New Roman" w:hAnsi="Times New Roman" w:cs="Times New Roman"/>
          <w:b w:val="0"/>
          <w:bCs/>
          <w:u w:val="none"/>
          <w:lang w:eastAsia="zh-CN"/>
        </w:rPr>
        <w:t>年，全球和中国境内营业额</w:t>
      </w:r>
      <w:r>
        <w:rPr>
          <w:rFonts w:hint="eastAsia" w:ascii="Times New Roman" w:hAnsi="Times New Roman" w:cs="Times New Roman"/>
          <w:b w:val="0"/>
          <w:bCs/>
          <w:u w:val="none"/>
          <w:lang w:eastAsia="zh-CN"/>
        </w:rPr>
        <w:t>均为（略）</w:t>
      </w:r>
      <w:r>
        <w:rPr>
          <w:rFonts w:hint="default" w:ascii="Times New Roman" w:hAnsi="Times New Roman" w:cs="Times New Roman"/>
          <w:b w:val="0"/>
          <w:bCs/>
          <w:u w:val="none"/>
          <w:lang w:eastAsia="zh-CN"/>
        </w:rPr>
        <w:t>。</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（二）交易概况。</w:t>
      </w:r>
    </w:p>
    <w:p>
      <w:pPr>
        <w:pStyle w:val="9"/>
        <w:spacing w:line="240" w:lineRule="auto"/>
        <w:ind w:firstLine="640"/>
        <w:rPr>
          <w:rFonts w:hint="eastAsia"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本交易系</w:t>
      </w:r>
      <w:r>
        <w:rPr>
          <w:rFonts w:hint="eastAsia" w:ascii="Times New Roman" w:hAnsi="Times New Roman" w:eastAsia="仿宋_GB2312" w:cs="Times New Roman"/>
          <w:bCs/>
          <w:kern w:val="2"/>
          <w:sz w:val="32"/>
          <w:szCs w:val="32"/>
          <w:lang w:val="en-US" w:eastAsia="zh-CN" w:bidi="ar-SA"/>
        </w:rPr>
        <w:t>股权收购</w:t>
      </w:r>
      <w:r>
        <w:rPr>
          <w:rFonts w:hint="default" w:ascii="Times New Roman" w:hAnsi="Times New Roman" w:eastAsia="仿宋_GB2312" w:cs="Times New Roman"/>
          <w:bCs/>
          <w:kern w:val="2"/>
          <w:sz w:val="32"/>
          <w:szCs w:val="32"/>
          <w:lang w:val="en-US" w:eastAsia="zh-CN" w:bidi="ar-SA"/>
        </w:rPr>
        <w:t>。</w:t>
      </w:r>
      <w:r>
        <w:rPr>
          <w:rFonts w:hint="default" w:ascii="Times New Roman" w:hAnsi="Times New Roman" w:eastAsia="仿宋" w:cs="Times New Roman"/>
          <w:kern w:val="2"/>
          <w:sz w:val="32"/>
          <w:szCs w:val="32"/>
          <w:lang w:val="en-US" w:eastAsia="zh-CN" w:bidi="ar-SA"/>
        </w:rPr>
        <w:t>2019年1月</w:t>
      </w:r>
      <w:r>
        <w:rPr>
          <w:rFonts w:hint="eastAsia" w:ascii="Times New Roman" w:hAnsi="Times New Roman" w:eastAsia="仿宋" w:cs="Times New Roman"/>
          <w:kern w:val="2"/>
          <w:sz w:val="32"/>
          <w:szCs w:val="32"/>
          <w:lang w:val="en-US" w:eastAsia="zh-CN" w:bidi="ar-SA"/>
        </w:rPr>
        <w:t>23日</w:t>
      </w:r>
      <w:r>
        <w:rPr>
          <w:rFonts w:hint="eastAsia" w:ascii="Times New Roman" w:hAnsi="Times New Roman" w:eastAsia="仿宋_GB2312" w:cs="Times New Roman"/>
          <w:b w:val="0"/>
          <w:bCs w:val="0"/>
          <w:kern w:val="2"/>
          <w:sz w:val="32"/>
          <w:szCs w:val="32"/>
          <w:lang w:val="en-US" w:eastAsia="zh-CN" w:bidi="ar-SA"/>
        </w:rPr>
        <w:t>，量子跃动与云动创想、自然人曾德钧和京东邦能等签署交易协议，收购云动创想15.04%股权</w:t>
      </w:r>
      <w:r>
        <w:rPr>
          <w:rFonts w:hint="eastAsia" w:ascii="Times New Roman" w:hAnsi="Times New Roman" w:cs="Times New Roman"/>
          <w:b w:val="0"/>
          <w:bCs w:val="0"/>
          <w:kern w:val="2"/>
          <w:sz w:val="32"/>
          <w:szCs w:val="32"/>
          <w:lang w:val="en-US" w:eastAsia="zh-CN" w:bidi="ar-SA"/>
        </w:rPr>
        <w:t>，同日</w:t>
      </w:r>
      <w:r>
        <w:rPr>
          <w:rFonts w:hint="eastAsia" w:ascii="Times New Roman" w:hAnsi="Times New Roman" w:eastAsia="仿宋_GB2312" w:cs="Times New Roman"/>
          <w:b w:val="0"/>
          <w:bCs w:val="0"/>
          <w:kern w:val="2"/>
          <w:sz w:val="32"/>
          <w:szCs w:val="32"/>
          <w:lang w:val="en-US" w:eastAsia="zh-CN" w:bidi="ar-SA"/>
        </w:rPr>
        <w:t>完成股权变更登记。</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（一）本案构成未依法申报违法实施的经营者集中。</w:t>
      </w:r>
    </w:p>
    <w:p>
      <w:pPr>
        <w:keepNext w:val="0"/>
        <w:keepLines w:val="0"/>
        <w:pageBreakBefore w:val="0"/>
        <w:widowControl w:val="0"/>
        <w:kinsoku/>
        <w:wordWrap/>
        <w:topLinePunct w:val="0"/>
        <w:bidi w:val="0"/>
        <w:spacing w:line="594" w:lineRule="exact"/>
        <w:ind w:firstLine="628" w:firstLineChars="200"/>
        <w:jc w:val="both"/>
        <w:textAlignment w:val="auto"/>
        <w:rPr>
          <w:rFonts w:hint="default" w:ascii="Times New Roman" w:hAnsi="Times New Roman" w:eastAsia="仿宋_GB2312" w:cs="Times New Roman"/>
          <w:bCs/>
          <w:sz w:val="32"/>
          <w:szCs w:val="36"/>
          <w:lang w:eastAsia="zh-CN"/>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r>
        <w:rPr>
          <w:rFonts w:hint="default" w:ascii="Times New Roman" w:hAnsi="Times New Roman" w:eastAsia="仿宋" w:cs="Times New Roman"/>
          <w:kern w:val="2"/>
          <w:sz w:val="32"/>
          <w:szCs w:val="32"/>
          <w:lang w:val="en-US" w:eastAsia="zh-CN" w:bidi="ar-SA"/>
        </w:rPr>
        <w:t>2019年1月</w:t>
      </w:r>
      <w:r>
        <w:rPr>
          <w:rFonts w:hint="eastAsia" w:ascii="Times New Roman" w:hAnsi="Times New Roman" w:eastAsia="仿宋" w:cs="Times New Roman"/>
          <w:kern w:val="2"/>
          <w:sz w:val="32"/>
          <w:szCs w:val="32"/>
          <w:lang w:val="en-US" w:eastAsia="zh-CN" w:bidi="ar-SA"/>
        </w:rPr>
        <w:t>23日</w:t>
      </w:r>
      <w:r>
        <w:rPr>
          <w:rFonts w:hint="eastAsia" w:ascii="Times New Roman" w:hAnsi="Times New Roman" w:eastAsia="仿宋_GB2312" w:cs="Times New Roman"/>
          <w:b w:val="0"/>
          <w:bCs w:val="0"/>
          <w:kern w:val="2"/>
          <w:sz w:val="32"/>
          <w:szCs w:val="32"/>
          <w:lang w:val="en-US" w:eastAsia="zh-CN" w:bidi="ar-SA"/>
        </w:rPr>
        <w:t>，量子跃动收购云动创想15.04%股权，</w:t>
      </w:r>
      <w:r>
        <w:rPr>
          <w:rFonts w:hint="eastAsia" w:ascii="Times New Roman" w:hAnsi="Times New Roman" w:eastAsia="仿宋_GB2312" w:cs="Times New Roman"/>
          <w:bCs/>
          <w:kern w:val="2"/>
          <w:sz w:val="32"/>
          <w:szCs w:val="32"/>
          <w:lang w:val="en-US" w:eastAsia="zh-CN" w:bidi="ar-SA"/>
        </w:rPr>
        <w:t>取得共同控制权</w:t>
      </w:r>
      <w:r>
        <w:rPr>
          <w:rFonts w:hint="default" w:ascii="Times New Roman" w:hAnsi="Times New Roman" w:eastAsia="仿宋_GB2312" w:cs="Times New Roman"/>
          <w:bCs/>
          <w:kern w:val="2"/>
          <w:sz w:val="32"/>
          <w:szCs w:val="32"/>
          <w:lang w:val="en-US" w:eastAsia="zh-CN" w:bidi="ar-SA"/>
        </w:rPr>
        <w:t>，</w:t>
      </w:r>
      <w:r>
        <w:rPr>
          <w:rFonts w:hint="default" w:ascii="Times New Roman" w:hAnsi="Times New Roman" w:eastAsia="仿宋_GB2312" w:cs="Times New Roman"/>
          <w:bCs/>
          <w:sz w:val="32"/>
          <w:szCs w:val="36"/>
          <w:lang w:eastAsia="zh-CN"/>
        </w:rPr>
        <w:t>属于《反垄断法》第二十条规定的经营者集中。</w:t>
      </w:r>
    </w:p>
    <w:p>
      <w:pPr>
        <w:pStyle w:val="9"/>
        <w:pageBreakBefore w:val="0"/>
        <w:kinsoku/>
        <w:topLinePunct w:val="0"/>
        <w:bidi w:val="0"/>
        <w:ind w:firstLine="640"/>
        <w:textAlignment w:val="auto"/>
        <w:rPr>
          <w:rFonts w:hint="default" w:ascii="Times New Roman" w:hAnsi="Times New Roman" w:eastAsia="仿宋_GB2312" w:cs="Times New Roman"/>
          <w:kern w:val="2"/>
          <w:sz w:val="32"/>
          <w:szCs w:val="32"/>
        </w:rPr>
      </w:pPr>
      <w:r>
        <w:rPr>
          <w:rFonts w:hint="default" w:ascii="Times New Roman" w:hAnsi="Times New Roman" w:cs="Times New Roman"/>
          <w:b w:val="0"/>
          <w:bCs/>
          <w:lang w:val="en-US" w:eastAsia="zh-CN"/>
        </w:rPr>
        <w:t>2018</w:t>
      </w:r>
      <w:r>
        <w:rPr>
          <w:rFonts w:hint="default" w:ascii="Times New Roman" w:hAnsi="Times New Roman" w:cs="Times New Roman"/>
          <w:b w:val="0"/>
          <w:bCs/>
        </w:rPr>
        <w:t>年</w:t>
      </w:r>
      <w:r>
        <w:rPr>
          <w:rFonts w:hint="default" w:ascii="Times New Roman" w:hAnsi="Times New Roman" w:cs="Times New Roman"/>
          <w:b w:val="0"/>
          <w:bCs/>
          <w:lang w:eastAsia="zh-CN"/>
        </w:rPr>
        <w:t>量子跃动全球和中国营业额分别为</w:t>
      </w:r>
      <w:r>
        <w:rPr>
          <w:rFonts w:hint="eastAsia" w:ascii="Times New Roman" w:hAnsi="Times New Roman" w:eastAsia="仿宋" w:cs="Times New Roman"/>
          <w:szCs w:val="21"/>
          <w:lang w:val="en-US" w:eastAsia="zh-CN"/>
        </w:rPr>
        <w:t>（略）</w:t>
      </w:r>
      <w:r>
        <w:rPr>
          <w:rFonts w:hint="default" w:ascii="Times New Roman" w:hAnsi="Times New Roman" w:cs="Times New Roman"/>
          <w:b w:val="0"/>
          <w:bCs/>
          <w:lang w:eastAsia="zh-CN"/>
        </w:rPr>
        <w:t>；京东邦能</w:t>
      </w:r>
      <w:r>
        <w:rPr>
          <w:rFonts w:hint="default" w:ascii="Times New Roman" w:hAnsi="Times New Roman" w:cs="Times New Roman"/>
          <w:b w:val="0"/>
          <w:bCs/>
        </w:rPr>
        <w:t>全球</w:t>
      </w:r>
      <w:r>
        <w:rPr>
          <w:rFonts w:hint="default" w:ascii="Times New Roman" w:hAnsi="Times New Roman" w:cs="Times New Roman"/>
          <w:b w:val="0"/>
          <w:bCs/>
          <w:lang w:eastAsia="zh-CN"/>
        </w:rPr>
        <w:t>和</w:t>
      </w:r>
      <w:r>
        <w:rPr>
          <w:rFonts w:hint="default" w:ascii="Times New Roman" w:hAnsi="Times New Roman" w:cs="Times New Roman"/>
          <w:b w:val="0"/>
          <w:bCs/>
        </w:rPr>
        <w:t>中国境内营业额</w:t>
      </w:r>
      <w:r>
        <w:rPr>
          <w:rFonts w:hint="default" w:ascii="Times New Roman" w:hAnsi="Times New Roman" w:cs="Times New Roman"/>
          <w:b w:val="0"/>
          <w:bCs/>
          <w:lang w:eastAsia="zh-CN"/>
        </w:rPr>
        <w:t>分别</w:t>
      </w:r>
      <w:r>
        <w:rPr>
          <w:rFonts w:hint="default" w:ascii="Times New Roman" w:hAnsi="Times New Roman" w:cs="Times New Roman"/>
          <w:b w:val="0"/>
          <w:bCs/>
        </w:rPr>
        <w:t>为</w:t>
      </w:r>
      <w:r>
        <w:rPr>
          <w:rFonts w:hint="eastAsia" w:ascii="Times New Roman" w:hAnsi="Times New Roman" w:cs="Times New Roman"/>
          <w:b w:val="0"/>
          <w:bCs/>
          <w:u w:val="none"/>
          <w:lang w:val="en-US" w:eastAsia="zh-CN"/>
        </w:rPr>
        <w:t>（略）</w:t>
      </w:r>
      <w:r>
        <w:rPr>
          <w:rFonts w:hint="eastAsia" w:ascii="Times New Roman" w:hAnsi="Times New Roman" w:eastAsia="仿宋_GB2312" w:cs="Times New Roman"/>
          <w:b w:val="0"/>
          <w:bCs/>
          <w:kern w:val="2"/>
          <w:sz w:val="32"/>
          <w:szCs w:val="32"/>
          <w:lang w:val="en-US" w:eastAsia="zh-CN" w:bidi="ar-SA"/>
        </w:rPr>
        <w:t>，</w:t>
      </w:r>
      <w:r>
        <w:rPr>
          <w:rFonts w:hint="eastAsia" w:ascii="Times New Roman" w:hAnsi="Times New Roman" w:eastAsia="仿宋_GB2312" w:cs="仿宋_GB2312"/>
        </w:rPr>
        <w:t>达到《国务院关于经营者集中申报标准的规定》第</w:t>
      </w:r>
      <w:r>
        <w:rPr>
          <w:rFonts w:hint="eastAsia" w:ascii="Times New Roman" w:hAnsi="Times New Roman" w:eastAsia="仿宋_GB2312" w:cs="仿宋_GB2312"/>
          <w:lang w:eastAsia="zh-CN"/>
        </w:rPr>
        <w:t>三</w:t>
      </w:r>
      <w:r>
        <w:rPr>
          <w:rFonts w:hint="eastAsia" w:ascii="Times New Roman" w:hAnsi="Times New Roman" w:eastAsia="仿宋_GB2312" w:cs="仿宋_GB2312"/>
        </w:rPr>
        <w:t>条规定的申报标准，属于应当申报的情形。</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w:t>
      </w:r>
      <w:r>
        <w:rPr>
          <w:rFonts w:hint="default" w:ascii="Times New Roman" w:hAnsi="Times New Roman" w:eastAsia="仿宋" w:cs="Times New Roman"/>
          <w:kern w:val="2"/>
          <w:sz w:val="32"/>
          <w:szCs w:val="32"/>
          <w:lang w:val="en-US" w:eastAsia="zh-CN" w:bidi="ar-SA"/>
        </w:rPr>
        <w:t>2019年1月</w:t>
      </w:r>
      <w:r>
        <w:rPr>
          <w:rFonts w:hint="eastAsia" w:ascii="Times New Roman" w:hAnsi="Times New Roman" w:eastAsia="仿宋" w:cs="Times New Roman"/>
          <w:kern w:val="2"/>
          <w:sz w:val="32"/>
          <w:szCs w:val="32"/>
          <w:lang w:val="en-US" w:eastAsia="zh-CN" w:bidi="ar-SA"/>
        </w:rPr>
        <w:t>23日</w:t>
      </w:r>
      <w:r>
        <w:rPr>
          <w:rFonts w:hint="eastAsia" w:ascii="Times New Roman" w:hAnsi="Times New Roman" w:eastAsia="仿宋_GB2312" w:cs="Times New Roman"/>
          <w:b w:val="0"/>
          <w:bCs w:val="0"/>
          <w:kern w:val="2"/>
          <w:sz w:val="32"/>
          <w:szCs w:val="32"/>
          <w:lang w:val="en-US" w:eastAsia="zh-CN" w:bidi="ar-SA"/>
        </w:rPr>
        <w:t>，云动创想完成股权变更登记</w:t>
      </w:r>
      <w:r>
        <w:rPr>
          <w:rFonts w:hint="default" w:ascii="Times New Roman" w:hAnsi="Times New Roman" w:eastAsia="仿宋_GB2312" w:cs="Times New Roman"/>
          <w:bCs/>
          <w:kern w:val="2"/>
          <w:sz w:val="32"/>
          <w:szCs w:val="32"/>
          <w:lang w:val="en-US" w:eastAsia="zh-CN" w:bidi="ar-SA"/>
        </w:rPr>
        <w:t>，</w:t>
      </w:r>
      <w:r>
        <w:rPr>
          <w:rFonts w:hint="default" w:ascii="Times New Roman" w:hAnsi="Times New Roman" w:eastAsia="仿宋_GB2312" w:cs="Times New Roman"/>
          <w:sz w:val="32"/>
          <w:szCs w:val="32"/>
          <w:lang w:eastAsia="zh-CN"/>
        </w:rPr>
        <w:t>在此之前未</w:t>
      </w:r>
      <w:r>
        <w:rPr>
          <w:rFonts w:hint="eastAsia" w:ascii="Times New Roman" w:hAnsi="Times New Roman" w:eastAsia="仿宋_GB2312" w:cs="Times New Roman"/>
          <w:sz w:val="32"/>
          <w:szCs w:val="32"/>
          <w:lang w:val="en-US" w:eastAsia="zh-CN"/>
        </w:rPr>
        <w:t>依法</w:t>
      </w:r>
      <w:r>
        <w:rPr>
          <w:rFonts w:hint="default" w:ascii="Times New Roman" w:hAnsi="Times New Roman" w:eastAsia="仿宋_GB2312" w:cs="Times New Roman"/>
          <w:sz w:val="32"/>
          <w:szCs w:val="32"/>
          <w:lang w:eastAsia="zh-CN"/>
        </w:rPr>
        <w:t>申报，</w:t>
      </w:r>
      <w:bookmarkStart w:id="3" w:name="_GoBack"/>
      <w:bookmarkEnd w:id="3"/>
      <w:r>
        <w:rPr>
          <w:rFonts w:hint="eastAsia" w:ascii="Times New Roman" w:hAnsi="Times New Roman" w:eastAsia="仿宋_GB2312" w:cs="Times New Roman"/>
          <w:sz w:val="32"/>
          <w:szCs w:val="32"/>
          <w:lang w:val="en-US" w:eastAsia="zh-CN"/>
        </w:rPr>
        <w:t>违反《反垄断法》第二十一条，构成未依法申报违法实施的经营者集中。</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（二）本案不具有排除、限制竞争的效果。</w:t>
      </w:r>
    </w:p>
    <w:p>
      <w:pPr>
        <w:keepNext w:val="0"/>
        <w:keepLines w:val="0"/>
        <w:pageBreakBefore w:val="0"/>
        <w:widowControl w:val="0"/>
        <w:kinsoku/>
        <w:wordWrap/>
        <w:topLinePunct w:val="0"/>
        <w:bidi w:val="0"/>
        <w:spacing w:line="580" w:lineRule="exact"/>
        <w:ind w:firstLine="628"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本机关就量子跃动</w:t>
      </w:r>
      <w:r>
        <w:rPr>
          <w:rFonts w:hint="eastAsia" w:ascii="Times New Roman" w:hAnsi="Times New Roman" w:eastAsia="仿宋_GB2312" w:cs="Times New Roman"/>
          <w:b w:val="0"/>
          <w:bCs w:val="0"/>
          <w:kern w:val="2"/>
          <w:sz w:val="32"/>
          <w:szCs w:val="32"/>
          <w:lang w:val="en-US" w:eastAsia="zh-CN" w:bidi="ar-SA"/>
        </w:rPr>
        <w:t>收购云动创想</w:t>
      </w:r>
      <w:r>
        <w:rPr>
          <w:rFonts w:hint="eastAsia" w:ascii="Times New Roman" w:hAnsi="Times New Roman" w:eastAsia="仿宋_GB2312" w:cs="Times New Roman"/>
          <w:kern w:val="2"/>
          <w:sz w:val="32"/>
          <w:szCs w:val="32"/>
          <w:lang w:eastAsia="zh-CN"/>
        </w:rPr>
        <w:t>股权</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80"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基于调查</w:t>
      </w:r>
      <w:r>
        <w:rPr>
          <w:rFonts w:hint="default" w:ascii="Times New Roman" w:hAnsi="Times New Roman" w:eastAsia="仿宋_GB2312" w:cs="Times New Roman"/>
          <w:bCs/>
          <w:color w:val="000000"/>
          <w:kern w:val="2"/>
          <w:sz w:val="32"/>
          <w:szCs w:val="32"/>
          <w:lang w:eastAsia="zh-CN"/>
        </w:rPr>
        <w:t>情况和评估结论，本机关给予</w:t>
      </w:r>
      <w:r>
        <w:rPr>
          <w:rFonts w:hint="default" w:ascii="Times New Roman" w:hAnsi="Times New Roman" w:eastAsia="仿宋_GB2312" w:cs="Times New Roman"/>
          <w:bCs/>
          <w:sz w:val="32"/>
          <w:szCs w:val="32"/>
          <w:highlight w:val="none"/>
          <w:lang w:val="en-US" w:eastAsia="zh-CN"/>
        </w:rPr>
        <w:t>量子跃动</w:t>
      </w:r>
      <w:r>
        <w:rPr>
          <w:rFonts w:hint="default" w:ascii="Times New Roman" w:hAnsi="Times New Roman" w:eastAsia="仿宋_GB2312" w:cs="Times New Roman"/>
          <w:bCs/>
          <w:color w:val="000000"/>
          <w:kern w:val="2"/>
          <w:sz w:val="32"/>
          <w:szCs w:val="32"/>
          <w:lang w:val="en-US" w:eastAsia="zh-CN"/>
        </w:rPr>
        <w:t>5</w:t>
      </w:r>
      <w:r>
        <w:rPr>
          <w:rFonts w:hint="default" w:ascii="Times New Roman" w:hAnsi="Times New Roman" w:eastAsia="仿宋_GB2312" w:cs="Times New Roman"/>
          <w:bCs/>
          <w:color w:val="000000"/>
          <w:kern w:val="2"/>
          <w:sz w:val="32"/>
          <w:szCs w:val="32"/>
          <w:lang w:eastAsia="zh-CN"/>
        </w:rPr>
        <w:t>0万元罚款的行政处罚。</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lang w:eastAsia="zh-CN"/>
        </w:rPr>
        <w:t>《行政处罚法》第六十七条规定“作出罚款决定的行政机关应当与收缴罚款的机构分离。除依照本法第六十八条、第六十九条的规定当场收缴的罚款外，作出行政处罚决定的行政机关及其执法人员不得自行收缴罚款。当事人应当自收到行政处罚决定书之日起十五日内，到指定的银行或者通过电子支付系统缴纳罚款。银行应当收受罚款，并将罚款直接上缴国库”。　</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bCs/>
          <w:color w:val="000000"/>
          <w:kern w:val="2"/>
          <w:sz w:val="32"/>
          <w:szCs w:val="32"/>
          <w:highlight w:val="yellow"/>
          <w:lang w:eastAsia="zh-CN"/>
        </w:rPr>
      </w:pPr>
      <w:r>
        <w:rPr>
          <w:rFonts w:hint="eastAsia" w:ascii="Times New Roman" w:hAnsi="Times New Roman" w:eastAsia="仿宋_GB2312" w:cs="Times New Roman"/>
          <w:bCs/>
          <w:color w:val="000000"/>
          <w:kern w:val="2"/>
          <w:sz w:val="32"/>
          <w:szCs w:val="32"/>
          <w:lang w:eastAsia="zh-CN"/>
        </w:rPr>
        <w:t>当事人</w:t>
      </w:r>
      <w:r>
        <w:rPr>
          <w:rFonts w:hint="default" w:ascii="Times New Roman" w:hAnsi="Times New Roman" w:eastAsia="仿宋_GB2312" w:cs="Times New Roman"/>
          <w:bCs/>
          <w:color w:val="000000"/>
          <w:kern w:val="2"/>
          <w:sz w:val="32"/>
          <w:szCs w:val="32"/>
          <w:lang w:eastAsia="zh-CN"/>
        </w:rPr>
        <w:t>应当自收到本行政处罚决定书之日起十五日内，携缴款码到</w:t>
      </w:r>
      <w:r>
        <w:rPr>
          <w:rFonts w:hint="default" w:ascii="Times New Roman" w:hAnsi="Times New Roman" w:eastAsia="仿宋_GB2312" w:cs="Times New Roman"/>
          <w:bCs/>
          <w:color w:val="000000"/>
          <w:kern w:val="2"/>
          <w:sz w:val="32"/>
          <w:szCs w:val="32"/>
          <w:lang w:val="en-US" w:eastAsia="zh-CN"/>
        </w:rPr>
        <w:t>1</w:t>
      </w:r>
      <w:r>
        <w:rPr>
          <w:rFonts w:hint="eastAsia" w:ascii="Times New Roman" w:hAnsi="Times New Roman" w:eastAsia="仿宋_GB2312" w:cs="Times New Roman"/>
          <w:bCs/>
          <w:color w:val="000000"/>
          <w:kern w:val="2"/>
          <w:sz w:val="32"/>
          <w:szCs w:val="32"/>
          <w:lang w:val="en-US" w:eastAsia="zh-CN"/>
        </w:rPr>
        <w:t>5</w:t>
      </w:r>
      <w:r>
        <w:rPr>
          <w:rFonts w:hint="default" w:ascii="Times New Roman" w:hAnsi="Times New Roman" w:eastAsia="仿宋_GB2312" w:cs="Times New Roman"/>
          <w:bCs/>
          <w:color w:val="000000"/>
          <w:kern w:val="2"/>
          <w:sz w:val="32"/>
          <w:szCs w:val="32"/>
          <w:lang w:val="en-US" w:eastAsia="zh-CN"/>
        </w:rPr>
        <w:t>家中央财政非税收入收缴代理银行（工、农、中、建、交、中信、光大、招商、邮储、华夏、平安、兴业</w:t>
      </w:r>
      <w:r>
        <w:rPr>
          <w:rFonts w:hint="eastAsia" w:ascii="Times New Roman" w:hAnsi="Times New Roman" w:eastAsia="仿宋_GB2312" w:cs="Times New Roman"/>
          <w:bCs/>
          <w:color w:val="000000"/>
          <w:kern w:val="2"/>
          <w:sz w:val="32"/>
          <w:szCs w:val="32"/>
          <w:lang w:val="en-US" w:eastAsia="zh-CN"/>
        </w:rPr>
        <w:t>、民生、广发、浙商</w:t>
      </w:r>
      <w:r>
        <w:rPr>
          <w:rFonts w:hint="default" w:ascii="Times New Roman" w:hAnsi="Times New Roman" w:eastAsia="仿宋_GB2312" w:cs="Times New Roman"/>
          <w:bCs/>
          <w:color w:val="000000"/>
          <w:kern w:val="2"/>
          <w:sz w:val="32"/>
          <w:szCs w:val="32"/>
          <w:lang w:val="en-US" w:eastAsia="zh-CN"/>
        </w:rPr>
        <w:t>）任一银行网点</w:t>
      </w:r>
      <w:r>
        <w:rPr>
          <w:rFonts w:hint="eastAsia" w:ascii="Times New Roman" w:hAnsi="Times New Roman" w:eastAsia="仿宋_GB2312" w:cs="Times New Roman"/>
          <w:bCs/>
          <w:color w:val="000000"/>
          <w:kern w:val="2"/>
          <w:sz w:val="32"/>
          <w:szCs w:val="32"/>
          <w:lang w:val="en-US" w:eastAsia="zh-CN"/>
        </w:rPr>
        <w:t>、</w:t>
      </w:r>
      <w:r>
        <w:rPr>
          <w:rFonts w:hint="default" w:ascii="Times New Roman" w:hAnsi="Times New Roman" w:eastAsia="仿宋_GB2312" w:cs="Times New Roman"/>
          <w:bCs/>
          <w:color w:val="000000"/>
          <w:kern w:val="2"/>
          <w:sz w:val="32"/>
          <w:szCs w:val="32"/>
          <w:lang w:val="en-US" w:eastAsia="zh-CN"/>
        </w:rPr>
        <w:t>网上银行缴纳罚款。</w:t>
      </w:r>
      <w:r>
        <w:rPr>
          <w:rFonts w:hint="default" w:ascii="Times New Roman" w:hAnsi="Times New Roman" w:eastAsia="仿宋_GB2312" w:cs="Times New Roman"/>
          <w:bCs/>
          <w:color w:val="000000"/>
          <w:kern w:val="2"/>
          <w:sz w:val="32"/>
          <w:szCs w:val="32"/>
          <w:lang w:eastAsia="zh-CN"/>
        </w:rPr>
        <w:t>缴款码：</w:t>
      </w:r>
      <w:r>
        <w:rPr>
          <w:rFonts w:hint="eastAsia" w:eastAsia="仿宋_GB2312" w:cs="Times New Roman"/>
          <w:bCs/>
          <w:color w:val="000000"/>
          <w:kern w:val="2"/>
          <w:sz w:val="32"/>
          <w:szCs w:val="32"/>
          <w:lang w:val="en-US" w:eastAsia="zh-CN"/>
        </w:rPr>
        <w:t>0000002103730540。</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eastAsia" w:ascii="Times New Roman" w:hAnsi="Times New Roman" w:eastAsia="仿宋_GB2312" w:cs="Times New Roman"/>
          <w:bCs/>
          <w:color w:val="000000"/>
          <w:kern w:val="2"/>
          <w:sz w:val="32"/>
          <w:szCs w:val="32"/>
          <w:lang w:eastAsia="zh-CN"/>
        </w:rPr>
        <w:t>当事人</w:t>
      </w:r>
      <w:r>
        <w:rPr>
          <w:rFonts w:hint="default" w:ascii="Times New Roman" w:hAnsi="Times New Roman" w:eastAsia="仿宋_GB2312" w:cs="Times New Roman"/>
          <w:bCs/>
          <w:color w:val="000000"/>
          <w:kern w:val="2"/>
          <w:sz w:val="32"/>
          <w:szCs w:val="32"/>
          <w:lang w:eastAsia="zh-CN"/>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keepNext w:val="0"/>
        <w:keepLines w:val="0"/>
        <w:pageBreakBefore w:val="0"/>
        <w:widowControl w:val="0"/>
        <w:kinsoku/>
        <w:wordWrap/>
        <w:topLinePunct w:val="0"/>
        <w:bidi w:val="0"/>
        <w:snapToGrid w:val="0"/>
        <w:spacing w:line="580" w:lineRule="exact"/>
        <w:ind w:firstLine="5433" w:firstLineChars="173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市场监管总局</w:t>
      </w:r>
    </w:p>
    <w:p>
      <w:pPr>
        <w:keepNext w:val="0"/>
        <w:keepLines w:val="0"/>
        <w:pageBreakBefore w:val="0"/>
        <w:widowControl w:val="0"/>
        <w:kinsoku/>
        <w:wordWrap/>
        <w:topLinePunct w:val="0"/>
        <w:bidi w:val="0"/>
        <w:snapToGrid w:val="0"/>
        <w:spacing w:line="580" w:lineRule="exact"/>
        <w:ind w:firstLine="5225" w:firstLineChars="1664"/>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202</w:t>
      </w:r>
      <w:r>
        <w:rPr>
          <w:rFonts w:hint="eastAsia"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年</w:t>
      </w:r>
      <w:r>
        <w:rPr>
          <w:rFonts w:hint="eastAsia" w:eastAsia="仿宋_GB2312" w:cs="Times New Roman"/>
          <w:kern w:val="2"/>
          <w:sz w:val="32"/>
          <w:szCs w:val="32"/>
          <w:lang w:val="en-US" w:eastAsia="zh-CN"/>
        </w:rPr>
        <w:t>11</w:t>
      </w:r>
      <w:r>
        <w:rPr>
          <w:rFonts w:hint="default" w:ascii="Times New Roman" w:hAnsi="Times New Roman" w:eastAsia="仿宋_GB2312" w:cs="Times New Roman"/>
          <w:kern w:val="2"/>
          <w:sz w:val="32"/>
          <w:szCs w:val="32"/>
        </w:rPr>
        <w:t>月</w:t>
      </w:r>
      <w:r>
        <w:rPr>
          <w:rFonts w:hint="eastAsia" w:eastAsia="仿宋_GB2312" w:cs="Times New Roman"/>
          <w:kern w:val="2"/>
          <w:sz w:val="32"/>
          <w:szCs w:val="32"/>
          <w:lang w:val="en-US" w:eastAsia="zh-CN"/>
        </w:rPr>
        <w:t>17</w:t>
      </w:r>
      <w:r>
        <w:rPr>
          <w:rFonts w:hint="default" w:ascii="Times New Roman" w:hAnsi="Times New Roman" w:eastAsia="仿宋_GB2312" w:cs="Times New Roman"/>
          <w:kern w:val="2"/>
          <w:sz w:val="32"/>
          <w:szCs w:val="32"/>
        </w:rPr>
        <w:t>日</w:t>
      </w:r>
    </w:p>
    <w:p>
      <w:pPr>
        <w:keepNext w:val="0"/>
        <w:keepLines w:val="0"/>
        <w:pageBreakBefore w:val="0"/>
        <w:widowControl w:val="0"/>
        <w:kinsoku/>
        <w:wordWrap/>
        <w:topLinePunct w:val="0"/>
        <w:bidi w:val="0"/>
        <w:spacing w:line="580" w:lineRule="exact"/>
        <w:ind w:firstLine="628" w:firstLineChars="200"/>
        <w:textAlignment w:val="auto"/>
        <w:rPr>
          <w:rFonts w:hint="default" w:ascii="Times New Roman" w:hAnsi="Times New Roman" w:cs="Times New Roman"/>
        </w:rPr>
      </w:pPr>
      <w:r>
        <w:rPr>
          <w:rFonts w:hint="default" w:ascii="Times New Roman" w:hAnsi="Times New Roman" w:eastAsia="仿宋_GB2312" w:cs="Times New Roman"/>
          <w:kern w:val="2"/>
          <w:sz w:val="32"/>
          <w:szCs w:val="32"/>
        </w:rPr>
        <w:t>（此件公开发布）</w:t>
      </w:r>
    </w:p>
    <w:sectPr>
      <w:footerReference r:id="rId3" w:type="default"/>
      <w:footerReference r:id="rId4" w:type="even"/>
      <w:pgSz w:w="11906" w:h="16838"/>
      <w:pgMar w:top="18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8"/>
        <w:rFonts w:hint="eastAsia" w:ascii="宋体" w:hAnsi="宋体"/>
        <w:sz w:val="28"/>
        <w:szCs w:val="28"/>
      </w:rPr>
    </w:pPr>
    <w:r>
      <w:rPr>
        <w:rStyle w:val="8"/>
        <w:rFonts w:hint="eastAsia"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1</w:t>
    </w:r>
    <w:r>
      <w:rPr>
        <w:rStyle w:val="8"/>
        <w:rFonts w:ascii="宋体" w:hAnsi="宋体"/>
        <w:sz w:val="28"/>
        <w:szCs w:val="28"/>
      </w:rPr>
      <w:fldChar w:fldCharType="end"/>
    </w:r>
    <w:r>
      <w:rPr>
        <w:rStyle w:val="8"/>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570B1"/>
    <w:rsid w:val="0153063F"/>
    <w:rsid w:val="01A839B5"/>
    <w:rsid w:val="01E27CAC"/>
    <w:rsid w:val="02686764"/>
    <w:rsid w:val="030E3C1A"/>
    <w:rsid w:val="03235387"/>
    <w:rsid w:val="0449129C"/>
    <w:rsid w:val="075F674C"/>
    <w:rsid w:val="083430C7"/>
    <w:rsid w:val="09AC08F5"/>
    <w:rsid w:val="0D2865CE"/>
    <w:rsid w:val="0D4F123B"/>
    <w:rsid w:val="0F1D24C6"/>
    <w:rsid w:val="0F384CAE"/>
    <w:rsid w:val="0FA70C29"/>
    <w:rsid w:val="124546B4"/>
    <w:rsid w:val="12D617D9"/>
    <w:rsid w:val="131E7A78"/>
    <w:rsid w:val="14E769C2"/>
    <w:rsid w:val="16657401"/>
    <w:rsid w:val="16A406A2"/>
    <w:rsid w:val="16DE70D7"/>
    <w:rsid w:val="17EF4193"/>
    <w:rsid w:val="18DB1E51"/>
    <w:rsid w:val="192053EE"/>
    <w:rsid w:val="19FF5BD3"/>
    <w:rsid w:val="1A156921"/>
    <w:rsid w:val="1ADB3431"/>
    <w:rsid w:val="1B0337EA"/>
    <w:rsid w:val="1B095395"/>
    <w:rsid w:val="1B223165"/>
    <w:rsid w:val="1C2A697C"/>
    <w:rsid w:val="1C3B30D9"/>
    <w:rsid w:val="1D3570B1"/>
    <w:rsid w:val="1F573D93"/>
    <w:rsid w:val="1FFFF748"/>
    <w:rsid w:val="213B5A0D"/>
    <w:rsid w:val="2608726A"/>
    <w:rsid w:val="261F51BF"/>
    <w:rsid w:val="264C3D8F"/>
    <w:rsid w:val="265326DA"/>
    <w:rsid w:val="26D23DFE"/>
    <w:rsid w:val="28C8606C"/>
    <w:rsid w:val="29171A1E"/>
    <w:rsid w:val="29F70A22"/>
    <w:rsid w:val="2CBC70C7"/>
    <w:rsid w:val="2F5A18F5"/>
    <w:rsid w:val="300B75DD"/>
    <w:rsid w:val="3069119D"/>
    <w:rsid w:val="308D1FE3"/>
    <w:rsid w:val="31611C2C"/>
    <w:rsid w:val="31E778A8"/>
    <w:rsid w:val="33B94AAA"/>
    <w:rsid w:val="34714342"/>
    <w:rsid w:val="35B03B5A"/>
    <w:rsid w:val="38043EF0"/>
    <w:rsid w:val="386A294D"/>
    <w:rsid w:val="3B5D2A4F"/>
    <w:rsid w:val="3F1B7491"/>
    <w:rsid w:val="3F3B6D32"/>
    <w:rsid w:val="3F9631F0"/>
    <w:rsid w:val="45F50A3C"/>
    <w:rsid w:val="46E42D2C"/>
    <w:rsid w:val="471E5D70"/>
    <w:rsid w:val="48B07C4C"/>
    <w:rsid w:val="49513DE5"/>
    <w:rsid w:val="49F75885"/>
    <w:rsid w:val="4ABC40B8"/>
    <w:rsid w:val="4BE41131"/>
    <w:rsid w:val="4EF957B9"/>
    <w:rsid w:val="4EFD73AF"/>
    <w:rsid w:val="4FBB0857"/>
    <w:rsid w:val="4FDB2438"/>
    <w:rsid w:val="50983997"/>
    <w:rsid w:val="509E06F1"/>
    <w:rsid w:val="51075873"/>
    <w:rsid w:val="541C0068"/>
    <w:rsid w:val="55FDC4DD"/>
    <w:rsid w:val="58F35A97"/>
    <w:rsid w:val="5A8C3C9C"/>
    <w:rsid w:val="5B8B0DC5"/>
    <w:rsid w:val="5BDD2331"/>
    <w:rsid w:val="5D4E6DD5"/>
    <w:rsid w:val="5EBC3ACE"/>
    <w:rsid w:val="5EFA53DB"/>
    <w:rsid w:val="5F391542"/>
    <w:rsid w:val="602F6571"/>
    <w:rsid w:val="62E72A13"/>
    <w:rsid w:val="631604C1"/>
    <w:rsid w:val="662A0EB3"/>
    <w:rsid w:val="6947638C"/>
    <w:rsid w:val="6A3F091C"/>
    <w:rsid w:val="6C8D52AD"/>
    <w:rsid w:val="6F712D0C"/>
    <w:rsid w:val="71205B4B"/>
    <w:rsid w:val="7A782B89"/>
    <w:rsid w:val="7D641176"/>
    <w:rsid w:val="7F3F97A7"/>
    <w:rsid w:val="7F7F522F"/>
    <w:rsid w:val="CEF5F7B6"/>
    <w:rsid w:val="EAFF5471"/>
    <w:rsid w:val="FAB0BE9D"/>
    <w:rsid w:val="FC9F6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360" w:lineRule="exact"/>
      <w:ind w:firstLine="420" w:firstLineChars="200"/>
    </w:pPr>
    <w:rPr>
      <w:szCs w:val="20"/>
    </w:rPr>
  </w:style>
  <w:style w:type="paragraph" w:styleId="3">
    <w:name w:val="Body Text"/>
    <w:basedOn w:val="1"/>
    <w:unhideWhenUsed/>
    <w:qFormat/>
    <w:uiPriority w:val="0"/>
    <w:pPr>
      <w:spacing w:after="120"/>
    </w:pPr>
    <w:rPr>
      <w:rFonts w:ascii="Calibri" w:hAnsi="Calibri" w:eastAsia="宋体" w:cs="Times New Roman"/>
      <w:szCs w:val="2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paragraph" w:customStyle="1" w:styleId="9">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2020-12-13T02:26:00Z</dcterms:created>
  <dc:creator>徐霄飞</dc:creator>
  <cp:lastModifiedBy>greatwall</cp:lastModifiedBy>
  <cp:lastPrinted>2021-11-13T15:56:00Z</cp:lastPrinted>
  <dcterms:modified xsi:type="dcterms:W3CDTF">2021-11-19T14:49:00Z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81CAAB7E1E8542428C03C6B8D5131BE7</vt:lpwstr>
  </property>
</Properties>
</file>