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Arial" w:hAnsi="Arial" w:eastAsia="宋体" w:cs="Arial"/>
          <w:sz w:val="28"/>
          <w:szCs w:val="28"/>
        </w:rPr>
      </w:pPr>
    </w:p>
    <w:p>
      <w:pPr>
        <w:spacing w:line="440" w:lineRule="exact"/>
        <w:jc w:val="center"/>
        <w:rPr>
          <w:rFonts w:ascii="Arial" w:hAnsi="Arial" w:eastAsia="宋体" w:cs="Arial"/>
          <w:b/>
          <w:sz w:val="30"/>
          <w:szCs w:val="30"/>
        </w:rPr>
      </w:pPr>
      <w:r>
        <w:rPr>
          <w:rFonts w:ascii="Arial" w:hAnsi="Arial" w:eastAsia="宋体" w:cs="Arial"/>
          <w:b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Arial" w:hAnsi="Arial" w:eastAsia="宋体" w:cs="Arial"/>
          <w:sz w:val="28"/>
          <w:szCs w:val="28"/>
        </w:rPr>
      </w:pPr>
    </w:p>
    <w:tbl>
      <w:tblPr>
        <w:tblStyle w:val="10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09" w:type="dxa"/>
            <w:shd w:val="clear" w:color="auto" w:fill="D8D8D8" w:themeFill="background1" w:themeFillShade="D9"/>
          </w:tcPr>
          <w:p>
            <w:pPr>
              <w:widowControl/>
              <w:snapToGrid w:val="0"/>
              <w:spacing w:before="156" w:beforeLines="50" w:after="156" w:afterLines="50" w:line="400" w:lineRule="exact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河南信产数创私募股权投资基金合伙企业（有限合伙）收购荣科科技股份有限公司股权案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8D8D8" w:themeFill="background1" w:themeFillShade="D9"/>
          </w:tcPr>
          <w:p>
            <w:pPr>
              <w:widowControl/>
              <w:snapToGrid w:val="0"/>
              <w:spacing w:before="156" w:beforeLines="50" w:after="156" w:afterLines="50" w:line="400" w:lineRule="exact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2021</w:t>
            </w:r>
            <w:r>
              <w:rPr>
                <w:rFonts w:hint="eastAsia" w:ascii="Arial" w:hAnsi="Arial" w:eastAsia="宋体" w:cs="Arial"/>
              </w:rPr>
              <w:t>年10月19日，河南信产数创私募股权投资基金合伙企业（有限合伙）</w:t>
            </w:r>
            <w:r>
              <w:rPr>
                <w:rFonts w:ascii="Arial" w:hAnsi="Arial" w:eastAsia="宋体" w:cs="Arial"/>
              </w:rPr>
              <w:t>、辽宁国科实业有限公司和何任晖</w:t>
            </w:r>
            <w:r>
              <w:rPr>
                <w:rFonts w:hint="eastAsia" w:ascii="Arial" w:hAnsi="Arial" w:eastAsia="宋体" w:cs="Arial"/>
              </w:rPr>
              <w:t>签署了《</w:t>
            </w:r>
            <w:r>
              <w:rPr>
                <w:rFonts w:ascii="Arial" w:hAnsi="Arial" w:eastAsia="宋体" w:cs="Arial"/>
              </w:rPr>
              <w:t>股份转让协议</w:t>
            </w:r>
            <w:r>
              <w:rPr>
                <w:rFonts w:hint="eastAsia" w:ascii="Arial" w:hAnsi="Arial" w:eastAsia="宋体" w:cs="Arial"/>
              </w:rPr>
              <w:t>》。</w:t>
            </w:r>
          </w:p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辽宁国科实业有限公司将所持荣科科技股份有限公司【</w:t>
            </w:r>
            <w:r>
              <w:rPr>
                <w:rFonts w:ascii="Arial" w:hAnsi="Arial" w:eastAsia="宋体" w:cs="Arial"/>
              </w:rPr>
              <w:t>128,000,000</w:t>
            </w:r>
            <w:r>
              <w:rPr>
                <w:rFonts w:hint="eastAsia" w:ascii="Arial" w:hAnsi="Arial" w:eastAsia="宋体" w:cs="Arial"/>
              </w:rPr>
              <w:t>】股股份（占上市公司总股本【</w:t>
            </w:r>
            <w:r>
              <w:rPr>
                <w:rFonts w:ascii="Arial" w:hAnsi="Arial" w:eastAsia="宋体" w:cs="Arial"/>
              </w:rPr>
              <w:t>20.0</w:t>
            </w:r>
            <w:r>
              <w:rPr>
                <w:rFonts w:hint="eastAsia" w:ascii="Arial" w:hAnsi="Arial" w:eastAsia="宋体" w:cs="Arial"/>
              </w:rPr>
              <w:t>2】</w:t>
            </w:r>
            <w:r>
              <w:rPr>
                <w:rFonts w:ascii="Arial" w:hAnsi="Arial" w:eastAsia="宋体" w:cs="Arial"/>
              </w:rPr>
              <w:t>%</w:t>
            </w:r>
            <w:r>
              <w:rPr>
                <w:rFonts w:hint="eastAsia" w:ascii="Arial" w:hAnsi="Arial" w:eastAsia="宋体" w:cs="Arial"/>
              </w:rPr>
              <w:t>）合计为人民币【</w:t>
            </w:r>
            <w:r>
              <w:rPr>
                <w:rFonts w:ascii="Arial" w:hAnsi="Arial" w:eastAsia="宋体" w:cs="Arial"/>
              </w:rPr>
              <w:t>852,480,000</w:t>
            </w:r>
            <w:r>
              <w:rPr>
                <w:rFonts w:hint="eastAsia" w:ascii="Arial" w:hAnsi="Arial" w:eastAsia="宋体" w:cs="Arial"/>
              </w:rPr>
              <w:t>】元转让给河南信产数创私募股权投资基金合伙企业（有限合伙）。</w:t>
            </w:r>
          </w:p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</w:p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交易后，河南信产数创私募股权投资基金合伙企业（有限合伙）将持有荣科科技股份有限公司 20.02%的股份，共计 128,000,000 股；国科实业持有公司 1.34%的股份，共计 8,529,042 股。</w:t>
            </w:r>
          </w:p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Merge w:val="restart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荣科科技股份有限公司</w:t>
            </w:r>
          </w:p>
        </w:tc>
        <w:tc>
          <w:tcPr>
            <w:tcW w:w="5153" w:type="dxa"/>
            <w:vAlign w:val="center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bookmarkStart w:id="0" w:name="_Toc356809686"/>
            <w:r>
              <w:rPr>
                <w:rFonts w:ascii="Arial" w:hAnsi="Arial" w:eastAsia="宋体" w:cs="Arial"/>
              </w:rPr>
              <w:t>一家于</w:t>
            </w:r>
            <w:r>
              <w:rPr>
                <w:rFonts w:hint="eastAsia" w:ascii="Arial" w:hAnsi="Arial" w:eastAsia="宋体" w:cs="Arial"/>
              </w:rPr>
              <w:t>2005年8月22日在辽宁省沈阳市成立的股份有限公司，主要从事智慧城市。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河南信产数创私募股权投资基金合伙企业（有限合伙）</w:t>
            </w:r>
          </w:p>
        </w:tc>
        <w:tc>
          <w:tcPr>
            <w:tcW w:w="5153" w:type="dxa"/>
          </w:tcPr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一家于20</w:t>
            </w:r>
            <w:r>
              <w:rPr>
                <w:rFonts w:hint="eastAsia" w:ascii="Arial" w:hAnsi="Arial" w:eastAsia="宋体" w:cs="Arial"/>
              </w:rPr>
              <w:t>21年10月14日</w:t>
            </w:r>
            <w:r>
              <w:rPr>
                <w:rFonts w:ascii="Arial" w:hAnsi="Arial" w:eastAsia="宋体" w:cs="Arial"/>
              </w:rPr>
              <w:t>在</w:t>
            </w:r>
            <w:r>
              <w:rPr>
                <w:rFonts w:hint="eastAsia" w:ascii="Arial" w:hAnsi="Arial" w:eastAsia="宋体" w:cs="Arial"/>
              </w:rPr>
              <w:t>河南省漯河市</w:t>
            </w:r>
            <w:r>
              <w:rPr>
                <w:rFonts w:ascii="Arial" w:hAnsi="Arial" w:eastAsia="宋体" w:cs="Arial"/>
              </w:rPr>
              <w:t>注册成立的</w:t>
            </w:r>
            <w:r>
              <w:rPr>
                <w:rFonts w:hint="eastAsia" w:ascii="Arial" w:hAnsi="Arial" w:eastAsia="宋体" w:cs="Arial"/>
              </w:rPr>
              <w:t>合伙企业</w:t>
            </w:r>
          </w:p>
          <w:p>
            <w:pPr>
              <w:widowControl/>
              <w:snapToGrid w:val="0"/>
              <w:jc w:val="left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，主要</w:t>
            </w:r>
            <w:r>
              <w:rPr>
                <w:rFonts w:hint="eastAsia" w:ascii="Arial" w:hAnsi="Arial" w:eastAsia="宋体" w:cs="Arial"/>
              </w:rPr>
              <w:t>从事私募股权投资基金管理、创业投资基金管理服务。</w:t>
            </w:r>
            <w:r>
              <w:rPr>
                <w:rFonts w:ascii="Arial" w:hAnsi="Arial" w:eastAsia="宋体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简易案件理由（可多选）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sym w:font="Wingdings 2" w:char="0052"/>
            </w:r>
            <w:r>
              <w:rPr>
                <w:rFonts w:ascii="Arial" w:hAnsi="Arial" w:eastAsia="宋体" w:cs="Arial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t>□</w:t>
            </w:r>
            <w:r>
              <w:rPr>
                <w:rFonts w:ascii="Arial" w:hAnsi="Arial" w:eastAsia="宋体" w:cs="Arial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t>□</w:t>
            </w:r>
            <w:r>
              <w:rPr>
                <w:rFonts w:ascii="Arial" w:hAnsi="Arial" w:eastAsia="宋体" w:cs="Arial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t>□</w:t>
            </w:r>
            <w:r>
              <w:rPr>
                <w:rFonts w:ascii="Arial" w:hAnsi="Arial" w:eastAsia="宋体" w:cs="Arial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t>□</w:t>
            </w:r>
            <w:r>
              <w:rPr>
                <w:rFonts w:ascii="Arial" w:hAnsi="Arial" w:eastAsia="宋体" w:cs="Arial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 w:line="400" w:lineRule="exac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36"/>
                <w:szCs w:val="36"/>
              </w:rPr>
              <w:t>□</w:t>
            </w:r>
            <w:r>
              <w:rPr>
                <w:rFonts w:ascii="Arial" w:hAnsi="Arial" w:eastAsia="宋体" w:cs="Arial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widowControl/>
              <w:snapToGrid w:val="0"/>
              <w:spacing w:before="156" w:beforeLines="50" w:after="156" w:afterLines="50" w:line="400" w:lineRule="exact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本项交易涉及以下相关市场：</w:t>
            </w:r>
          </w:p>
          <w:p>
            <w:pPr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产品市场：</w:t>
            </w:r>
            <w:r>
              <w:rPr>
                <w:rFonts w:hint="eastAsia" w:ascii="Arial" w:hAnsi="Arial" w:eastAsia="宋体" w:cs="Arial"/>
              </w:rPr>
              <w:t>智慧城市系统集成服务</w:t>
            </w:r>
          </w:p>
          <w:p>
            <w:pPr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地域市场：中国</w:t>
            </w:r>
            <w:r>
              <w:rPr>
                <w:rFonts w:hint="eastAsia" w:ascii="Arial" w:hAnsi="Arial" w:eastAsia="宋体" w:cs="Arial"/>
                <w:lang w:eastAsia="zh-CN"/>
              </w:rPr>
              <w:t>境内</w:t>
            </w:r>
          </w:p>
          <w:p>
            <w:pPr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市场份额：</w:t>
            </w:r>
          </w:p>
          <w:tbl>
            <w:tblPr>
              <w:tblStyle w:val="9"/>
              <w:tblW w:w="7119" w:type="dxa"/>
              <w:tblInd w:w="45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35"/>
              <w:gridCol w:w="1701"/>
              <w:gridCol w:w="25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ascii="Arial" w:hAnsi="Arial" w:eastAsia="宋体" w:cs="Arial"/>
                    </w:rPr>
                    <w:t>相关市场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ascii="Arial" w:hAnsi="Arial" w:eastAsia="宋体" w:cs="Arial"/>
                    </w:rPr>
                    <w:t>经营者</w:t>
                  </w:r>
                </w:p>
              </w:tc>
              <w:tc>
                <w:tcPr>
                  <w:tcW w:w="2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ascii="Arial" w:hAnsi="Arial" w:eastAsia="宋体" w:cs="Arial"/>
                    </w:rPr>
                    <w:t>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hint="eastAsia" w:ascii="Arial" w:hAnsi="Arial" w:eastAsia="宋体" w:cs="Arial"/>
                    </w:rPr>
                    <w:t>智慧城市系统集成服务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 w:ascii="Arial" w:hAnsi="Arial" w:eastAsia="宋体" w:cs="Arial"/>
                      <w:lang w:val="en-US" w:eastAsia="zh-CN"/>
                    </w:rPr>
                  </w:pPr>
                  <w:r>
                    <w:rPr>
                      <w:rFonts w:hint="eastAsia" w:ascii="Arial" w:hAnsi="Arial" w:eastAsia="宋体" w:cs="Arial"/>
                    </w:rPr>
                    <w:t>河南</w:t>
                  </w:r>
                  <w:r>
                    <w:rPr>
                      <w:rFonts w:hint="eastAsia" w:ascii="Arial" w:hAnsi="Arial" w:eastAsia="宋体" w:cs="Arial"/>
                      <w:lang w:eastAsia="zh-CN"/>
                    </w:rPr>
                    <w:t>信产</w:t>
                  </w:r>
                  <w:bookmarkStart w:id="1" w:name="_GoBack"/>
                  <w:bookmarkEnd w:id="1"/>
                </w:p>
              </w:tc>
              <w:tc>
                <w:tcPr>
                  <w:tcW w:w="2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Arial" w:hAnsi="Arial" w:eastAsia="宋体" w:cs="Arial"/>
                      <w:lang w:val="en-US" w:eastAsia="zh-CN"/>
                    </w:rPr>
                  </w:pPr>
                  <w:r>
                    <w:rPr>
                      <w:rFonts w:hint="eastAsia" w:ascii="Arial" w:hAnsi="Arial" w:eastAsia="宋体" w:cs="Arial"/>
                      <w:lang w:val="en-US" w:eastAsia="zh-CN"/>
                    </w:rPr>
                    <w:t>[0-5%]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hint="eastAsia" w:ascii="Arial" w:hAnsi="Arial" w:eastAsia="宋体" w:cs="Arial"/>
                    </w:rPr>
                    <w:t>智慧城市系统集成服务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ascii="Arial" w:hAnsi="Arial" w:eastAsia="宋体" w:cs="Arial"/>
                    </w:rPr>
                    <w:t>荣科科技</w:t>
                  </w:r>
                </w:p>
              </w:tc>
              <w:tc>
                <w:tcPr>
                  <w:tcW w:w="2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Arial" w:hAnsi="Arial" w:eastAsia="宋体" w:cs="Arial"/>
                    </w:rPr>
                  </w:pPr>
                  <w:r>
                    <w:rPr>
                      <w:rFonts w:hint="eastAsia" w:ascii="Arial" w:hAnsi="Arial" w:eastAsia="宋体" w:cs="Arial"/>
                      <w:lang w:val="en-US" w:eastAsia="zh-CN"/>
                    </w:rPr>
                    <w:t>[0-5%]</w:t>
                  </w:r>
                </w:p>
              </w:tc>
            </w:tr>
          </w:tbl>
          <w:p>
            <w:pPr>
              <w:spacing w:before="156" w:beforeLines="50" w:after="156" w:afterLines="50"/>
              <w:rPr>
                <w:rFonts w:ascii="Arial" w:hAnsi="Arial" w:eastAsia="宋体" w:cs="Arial"/>
                <w:sz w:val="24"/>
                <w:szCs w:val="24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Arial" w:hAnsi="Arial" w:eastAsia="宋体" w:cs="Arial"/>
          <w:sz w:val="28"/>
          <w:szCs w:val="28"/>
        </w:rPr>
      </w:pPr>
    </w:p>
    <w:p>
      <w:pPr>
        <w:snapToGrid w:val="0"/>
        <w:spacing w:line="240" w:lineRule="exact"/>
        <w:jc w:val="left"/>
        <w:rPr>
          <w:rFonts w:ascii="Arial" w:hAnsi="Arial" w:eastAsia="宋体" w:cs="Arial"/>
          <w:sz w:val="24"/>
          <w:szCs w:val="24"/>
        </w:rPr>
      </w:pPr>
      <w:r>
        <w:rPr>
          <w:rFonts w:ascii="Arial" w:hAnsi="Arial" w:eastAsia="宋体" w:cs="Arial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Arial" w:hAnsi="Arial" w:eastAsia="宋体" w:cs="Arial"/>
          <w:sz w:val="24"/>
          <w:szCs w:val="24"/>
        </w:rPr>
      </w:pPr>
      <w:r>
        <w:rPr>
          <w:rFonts w:ascii="Arial" w:hAnsi="Arial" w:eastAsia="宋体" w:cs="Arial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4"/>
          <w:szCs w:val="24"/>
        </w:rPr>
        <w:t>2、申报方申请简易案件的理由是基于第4项、第5项时，无须在备注中说明相关市场和市场份额。</w:t>
      </w:r>
      <w:r>
        <w:rPr>
          <w:rFonts w:ascii="Arial" w:hAnsi="Arial" w:eastAsia="宋体" w:cs="Arial"/>
          <w:sz w:val="24"/>
          <w:szCs w:val="24"/>
        </w:rPr>
        <w:br w:type="textWrapping"/>
      </w:r>
      <w:r>
        <w:rPr>
          <w:rFonts w:ascii="Arial" w:hAnsi="Arial" w:eastAsia="宋体" w:cs="Arial"/>
          <w:sz w:val="24"/>
          <w:szCs w:val="24"/>
        </w:rPr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696"/>
    <w:rsid w:val="00011005"/>
    <w:rsid w:val="00017EAA"/>
    <w:rsid w:val="00030D29"/>
    <w:rsid w:val="00033A90"/>
    <w:rsid w:val="00036704"/>
    <w:rsid w:val="00045B51"/>
    <w:rsid w:val="00067117"/>
    <w:rsid w:val="000723FA"/>
    <w:rsid w:val="00094095"/>
    <w:rsid w:val="000B3DCC"/>
    <w:rsid w:val="000D65B3"/>
    <w:rsid w:val="000E5321"/>
    <w:rsid w:val="000F02F4"/>
    <w:rsid w:val="000F1EBD"/>
    <w:rsid w:val="000F1FFF"/>
    <w:rsid w:val="001040B0"/>
    <w:rsid w:val="00105018"/>
    <w:rsid w:val="00106574"/>
    <w:rsid w:val="001325B0"/>
    <w:rsid w:val="001524B9"/>
    <w:rsid w:val="00171A7E"/>
    <w:rsid w:val="00171CA3"/>
    <w:rsid w:val="00175239"/>
    <w:rsid w:val="001767D1"/>
    <w:rsid w:val="00177D93"/>
    <w:rsid w:val="00194FF0"/>
    <w:rsid w:val="00195985"/>
    <w:rsid w:val="00197DF4"/>
    <w:rsid w:val="001C1AB3"/>
    <w:rsid w:val="001F5F0B"/>
    <w:rsid w:val="002019A9"/>
    <w:rsid w:val="00207E74"/>
    <w:rsid w:val="00213872"/>
    <w:rsid w:val="00216BD5"/>
    <w:rsid w:val="00241CE5"/>
    <w:rsid w:val="00275A3D"/>
    <w:rsid w:val="00293095"/>
    <w:rsid w:val="002942BA"/>
    <w:rsid w:val="002A5F57"/>
    <w:rsid w:val="002C5670"/>
    <w:rsid w:val="002D762D"/>
    <w:rsid w:val="002F1D1F"/>
    <w:rsid w:val="00304A5A"/>
    <w:rsid w:val="00311F24"/>
    <w:rsid w:val="00321DDB"/>
    <w:rsid w:val="00346A30"/>
    <w:rsid w:val="003657F1"/>
    <w:rsid w:val="0036691B"/>
    <w:rsid w:val="0037030B"/>
    <w:rsid w:val="00371541"/>
    <w:rsid w:val="0037565E"/>
    <w:rsid w:val="00386FBD"/>
    <w:rsid w:val="003C4817"/>
    <w:rsid w:val="003D3A30"/>
    <w:rsid w:val="00426458"/>
    <w:rsid w:val="00430537"/>
    <w:rsid w:val="00451A0F"/>
    <w:rsid w:val="00452171"/>
    <w:rsid w:val="00462174"/>
    <w:rsid w:val="00486AAC"/>
    <w:rsid w:val="004A1DAC"/>
    <w:rsid w:val="004A7139"/>
    <w:rsid w:val="004C5BC1"/>
    <w:rsid w:val="004D47CE"/>
    <w:rsid w:val="004E77F9"/>
    <w:rsid w:val="004F5075"/>
    <w:rsid w:val="00510CFD"/>
    <w:rsid w:val="00523F2F"/>
    <w:rsid w:val="005241C9"/>
    <w:rsid w:val="00535D98"/>
    <w:rsid w:val="00546866"/>
    <w:rsid w:val="00554252"/>
    <w:rsid w:val="0056050E"/>
    <w:rsid w:val="00580FA9"/>
    <w:rsid w:val="0059755E"/>
    <w:rsid w:val="005B52E5"/>
    <w:rsid w:val="005B65F3"/>
    <w:rsid w:val="005F03C4"/>
    <w:rsid w:val="005F1B7A"/>
    <w:rsid w:val="00620015"/>
    <w:rsid w:val="006276BC"/>
    <w:rsid w:val="00634708"/>
    <w:rsid w:val="00635C19"/>
    <w:rsid w:val="00637C57"/>
    <w:rsid w:val="006451C2"/>
    <w:rsid w:val="00662633"/>
    <w:rsid w:val="006652D0"/>
    <w:rsid w:val="006654A7"/>
    <w:rsid w:val="006846BF"/>
    <w:rsid w:val="00685065"/>
    <w:rsid w:val="006957F3"/>
    <w:rsid w:val="006A6AC4"/>
    <w:rsid w:val="006A797E"/>
    <w:rsid w:val="006C5258"/>
    <w:rsid w:val="006D4B4A"/>
    <w:rsid w:val="006E257B"/>
    <w:rsid w:val="00701EA9"/>
    <w:rsid w:val="00705BDA"/>
    <w:rsid w:val="0070608E"/>
    <w:rsid w:val="00720402"/>
    <w:rsid w:val="007313D6"/>
    <w:rsid w:val="0073164C"/>
    <w:rsid w:val="00754657"/>
    <w:rsid w:val="00757FB5"/>
    <w:rsid w:val="007722D1"/>
    <w:rsid w:val="00775DF3"/>
    <w:rsid w:val="00786977"/>
    <w:rsid w:val="00790721"/>
    <w:rsid w:val="007B16FF"/>
    <w:rsid w:val="007B6451"/>
    <w:rsid w:val="007D7231"/>
    <w:rsid w:val="007E5FD7"/>
    <w:rsid w:val="007F57CA"/>
    <w:rsid w:val="00826865"/>
    <w:rsid w:val="00840197"/>
    <w:rsid w:val="00855AAA"/>
    <w:rsid w:val="0087560B"/>
    <w:rsid w:val="008A3E1D"/>
    <w:rsid w:val="008C750D"/>
    <w:rsid w:val="009110AB"/>
    <w:rsid w:val="009119FA"/>
    <w:rsid w:val="0091664B"/>
    <w:rsid w:val="00922EB4"/>
    <w:rsid w:val="00931D92"/>
    <w:rsid w:val="00932EB0"/>
    <w:rsid w:val="009953F7"/>
    <w:rsid w:val="00A06186"/>
    <w:rsid w:val="00A06DD0"/>
    <w:rsid w:val="00A32894"/>
    <w:rsid w:val="00A40882"/>
    <w:rsid w:val="00A522F2"/>
    <w:rsid w:val="00A527D7"/>
    <w:rsid w:val="00A827A2"/>
    <w:rsid w:val="00A837A6"/>
    <w:rsid w:val="00A95A4A"/>
    <w:rsid w:val="00AA09C8"/>
    <w:rsid w:val="00AA0BA9"/>
    <w:rsid w:val="00AA2EDD"/>
    <w:rsid w:val="00AB0B34"/>
    <w:rsid w:val="00AB68C0"/>
    <w:rsid w:val="00AC5674"/>
    <w:rsid w:val="00AD5434"/>
    <w:rsid w:val="00AF57E8"/>
    <w:rsid w:val="00B14A60"/>
    <w:rsid w:val="00B4623D"/>
    <w:rsid w:val="00B557A7"/>
    <w:rsid w:val="00B66B30"/>
    <w:rsid w:val="00B709A7"/>
    <w:rsid w:val="00B83847"/>
    <w:rsid w:val="00BA6397"/>
    <w:rsid w:val="00BB5805"/>
    <w:rsid w:val="00BE2C6B"/>
    <w:rsid w:val="00BE3B3D"/>
    <w:rsid w:val="00BE525A"/>
    <w:rsid w:val="00BF5623"/>
    <w:rsid w:val="00BF6B5B"/>
    <w:rsid w:val="00C05A5C"/>
    <w:rsid w:val="00C1086E"/>
    <w:rsid w:val="00C135F3"/>
    <w:rsid w:val="00C17B41"/>
    <w:rsid w:val="00C54668"/>
    <w:rsid w:val="00C61FAC"/>
    <w:rsid w:val="00CA3DFA"/>
    <w:rsid w:val="00CA4C4F"/>
    <w:rsid w:val="00CB768D"/>
    <w:rsid w:val="00CC1F71"/>
    <w:rsid w:val="00CD497E"/>
    <w:rsid w:val="00D30F22"/>
    <w:rsid w:val="00D468F9"/>
    <w:rsid w:val="00D60D14"/>
    <w:rsid w:val="00D74C01"/>
    <w:rsid w:val="00D97082"/>
    <w:rsid w:val="00DA1B9F"/>
    <w:rsid w:val="00DC736B"/>
    <w:rsid w:val="00DD5F11"/>
    <w:rsid w:val="00E157A0"/>
    <w:rsid w:val="00E256CD"/>
    <w:rsid w:val="00E33E0C"/>
    <w:rsid w:val="00E45984"/>
    <w:rsid w:val="00E47FEA"/>
    <w:rsid w:val="00E5321F"/>
    <w:rsid w:val="00E62773"/>
    <w:rsid w:val="00E6529B"/>
    <w:rsid w:val="00E679D3"/>
    <w:rsid w:val="00E92062"/>
    <w:rsid w:val="00E9231C"/>
    <w:rsid w:val="00E929CE"/>
    <w:rsid w:val="00E941FA"/>
    <w:rsid w:val="00ED1CF4"/>
    <w:rsid w:val="00EE4A8B"/>
    <w:rsid w:val="00F102F3"/>
    <w:rsid w:val="00F17B0D"/>
    <w:rsid w:val="00F511EE"/>
    <w:rsid w:val="00F52CDE"/>
    <w:rsid w:val="00F74B7D"/>
    <w:rsid w:val="00F77541"/>
    <w:rsid w:val="00F87C1F"/>
    <w:rsid w:val="00FA4325"/>
    <w:rsid w:val="00FA64CA"/>
    <w:rsid w:val="00FB1A80"/>
    <w:rsid w:val="00FB5B2B"/>
    <w:rsid w:val="00FC398E"/>
    <w:rsid w:val="00FE07DB"/>
    <w:rsid w:val="04CB763F"/>
    <w:rsid w:val="4E127A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semiHidden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ndnote reference"/>
    <w:basedOn w:val="6"/>
    <w:semiHidden/>
    <w:unhideWhenUsed/>
    <w:qFormat/>
    <w:uiPriority w:val="99"/>
    <w:rPr>
      <w:vertAlign w:val="superscript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尾注文本 字符"/>
    <w:basedOn w:val="6"/>
    <w:link w:val="2"/>
    <w:semiHidden/>
    <w:qFormat/>
    <w:uiPriority w:val="99"/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6C7F1-3A10-4D2D-B0F8-53D2D14AA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2021-10-31T23:51:00Z</dcterms:created>
  <dc:creator>dell</dc:creator>
  <cp:lastModifiedBy>user</cp:lastModifiedBy>
  <dcterms:modified xsi:type="dcterms:W3CDTF">2021-11-05T00:55:22Z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