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b/>
          <w:bCs/>
          <w:sz w:val="30"/>
          <w:szCs w:val="30"/>
        </w:rPr>
      </w:pPr>
      <w:r>
        <w:rPr>
          <w:rFonts w:ascii="Arial" w:hAnsi="Arial" w:cs="Arial"/>
          <w:b/>
          <w:bCs/>
          <w:sz w:val="30"/>
          <w:szCs w:val="30"/>
        </w:rPr>
        <w:t>经营者集中简易案件公示表</w:t>
      </w:r>
    </w:p>
    <w:p>
      <w:pPr>
        <w:spacing w:line="440" w:lineRule="exact"/>
        <w:ind w:firstLine="845" w:firstLineChars="302"/>
        <w:rPr>
          <w:rFonts w:ascii="Arial" w:hAnsi="Arial" w:cs="Arial"/>
          <w:sz w:val="28"/>
          <w:szCs w:val="28"/>
        </w:rPr>
      </w:pP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Arial" w:hAnsi="Arial" w:cs="Arial"/>
                <w:sz w:val="28"/>
                <w:szCs w:val="28"/>
              </w:rPr>
            </w:pPr>
            <w:r>
              <w:rPr>
                <w:rFonts w:ascii="Arial" w:hAnsi="Arial" w:cs="Arial"/>
                <w:sz w:val="28"/>
                <w:szCs w:val="28"/>
              </w:rPr>
              <w:t>案件名称</w:t>
            </w:r>
          </w:p>
        </w:tc>
        <w:tc>
          <w:tcPr>
            <w:tcW w:w="6949" w:type="dxa"/>
            <w:gridSpan w:val="2"/>
          </w:tcPr>
          <w:p>
            <w:pPr>
              <w:spacing w:line="500" w:lineRule="exact"/>
              <w:rPr>
                <w:rFonts w:ascii="Arial" w:hAnsi="Arial" w:cs="Arial"/>
                <w:sz w:val="28"/>
                <w:szCs w:val="28"/>
              </w:rPr>
            </w:pPr>
            <w:r>
              <w:rPr>
                <w:rFonts w:hint="eastAsia" w:ascii="Arial" w:hAnsi="Arial" w:cs="Arial"/>
                <w:sz w:val="28"/>
                <w:szCs w:val="28"/>
              </w:rPr>
              <w:t>中铁工程装备集团有限公司与黄河勘测规划设计研究院有限公司新设合营企业案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Arial" w:hAnsi="Arial" w:cs="Arial"/>
                <w:sz w:val="28"/>
                <w:szCs w:val="28"/>
              </w:rPr>
            </w:pPr>
            <w:r>
              <w:rPr>
                <w:rFonts w:ascii="Arial" w:hAnsi="Arial" w:cs="Arial"/>
                <w:sz w:val="28"/>
                <w:szCs w:val="28"/>
              </w:rPr>
              <w:t>交易概况（限200字内）</w:t>
            </w:r>
          </w:p>
        </w:tc>
        <w:tc>
          <w:tcPr>
            <w:tcW w:w="6949" w:type="dxa"/>
            <w:gridSpan w:val="2"/>
          </w:tcPr>
          <w:p>
            <w:pPr>
              <w:spacing w:line="500" w:lineRule="exact"/>
              <w:rPr>
                <w:rFonts w:ascii="Arial" w:hAnsi="Arial" w:cs="Arial"/>
                <w:sz w:val="28"/>
                <w:szCs w:val="28"/>
              </w:rPr>
            </w:pPr>
            <w:r>
              <w:rPr>
                <w:rFonts w:hint="eastAsia" w:ascii="Arial" w:hAnsi="Arial" w:cs="Arial"/>
                <w:sz w:val="28"/>
                <w:szCs w:val="28"/>
              </w:rPr>
              <w:t>中铁工程装备集团有限公司（“中铁装备”）与黄河勘测规划设计研究院有限公司（“黄河设计院”）拟新设一家合营企业，其中，中铁装备的持股比例为5</w:t>
            </w:r>
            <w:r>
              <w:rPr>
                <w:rFonts w:ascii="Arial" w:hAnsi="Arial" w:cs="Arial"/>
                <w:sz w:val="28"/>
                <w:szCs w:val="28"/>
              </w:rPr>
              <w:t>0</w:t>
            </w:r>
            <w:r>
              <w:rPr>
                <w:rFonts w:hint="eastAsia" w:ascii="Arial" w:hAnsi="Arial" w:cs="Arial"/>
                <w:sz w:val="28"/>
                <w:szCs w:val="28"/>
              </w:rPr>
              <w:t>%，黄河设计院持股比例为5</w:t>
            </w:r>
            <w:r>
              <w:rPr>
                <w:rFonts w:ascii="Arial" w:hAnsi="Arial" w:cs="Arial"/>
                <w:sz w:val="28"/>
                <w:szCs w:val="28"/>
              </w:rPr>
              <w:t>0</w:t>
            </w:r>
            <w:r>
              <w:rPr>
                <w:rFonts w:hint="eastAsia" w:ascii="Arial" w:hAnsi="Arial" w:cs="Arial"/>
                <w:sz w:val="28"/>
                <w:szCs w:val="28"/>
              </w:rPr>
              <w:t>%。合营企业将从事城市地下空间工程咨询服务业务。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Arial" w:hAnsi="Arial" w:cs="Arial"/>
                <w:sz w:val="28"/>
                <w:szCs w:val="28"/>
              </w:rPr>
            </w:pPr>
            <w:r>
              <w:rPr>
                <w:rFonts w:ascii="Arial" w:hAnsi="Arial" w:cs="Arial"/>
                <w:sz w:val="28"/>
                <w:szCs w:val="28"/>
              </w:rPr>
              <w:t>参与集中的经营者简介</w:t>
            </w:r>
          </w:p>
        </w:tc>
        <w:tc>
          <w:tcPr>
            <w:tcW w:w="1796" w:type="dxa"/>
          </w:tcPr>
          <w:p>
            <w:pPr>
              <w:spacing w:line="500" w:lineRule="exact"/>
              <w:rPr>
                <w:rFonts w:ascii="Arial" w:hAnsi="Arial" w:cs="Arial"/>
                <w:sz w:val="28"/>
                <w:szCs w:val="28"/>
              </w:rPr>
            </w:pPr>
            <w:r>
              <w:rPr>
                <w:rFonts w:ascii="Arial" w:hAnsi="Arial" w:cs="Arial"/>
                <w:sz w:val="28"/>
                <w:szCs w:val="28"/>
              </w:rPr>
              <w:t>1、</w:t>
            </w:r>
            <w:r>
              <w:rPr>
                <w:rFonts w:hint="eastAsia" w:ascii="Arial" w:hAnsi="Arial" w:cs="Arial"/>
                <w:sz w:val="28"/>
                <w:szCs w:val="28"/>
              </w:rPr>
              <w:t>中铁装备</w:t>
            </w:r>
          </w:p>
        </w:tc>
        <w:tc>
          <w:tcPr>
            <w:tcW w:w="5153" w:type="dxa"/>
          </w:tcPr>
          <w:p>
            <w:pPr>
              <w:spacing w:line="500" w:lineRule="exact"/>
              <w:rPr>
                <w:rFonts w:ascii="Arial" w:hAnsi="Arial" w:cs="Arial"/>
                <w:sz w:val="28"/>
                <w:szCs w:val="28"/>
              </w:rPr>
            </w:pPr>
            <w:r>
              <w:rPr>
                <w:rFonts w:hint="eastAsia" w:ascii="Arial" w:hAnsi="Arial" w:cs="Arial"/>
                <w:sz w:val="28"/>
                <w:szCs w:val="28"/>
              </w:rPr>
              <w:t>中铁装备成立于2009年12月22日，注册地址为河南省郑州市</w:t>
            </w:r>
            <w:r>
              <w:rPr>
                <w:rFonts w:hint="eastAsia" w:ascii="Arial" w:hAnsi="Arial" w:cs="Arial"/>
                <w:sz w:val="28"/>
                <w:szCs w:val="28"/>
                <w:lang w:eastAsia="zh-CN"/>
              </w:rPr>
              <w:t>。</w:t>
            </w:r>
            <w:r>
              <w:rPr>
                <w:rFonts w:hint="eastAsia" w:ascii="Arial" w:hAnsi="Arial" w:cs="Arial"/>
                <w:sz w:val="28"/>
                <w:szCs w:val="28"/>
              </w:rPr>
              <w:t>中铁装备主要从事盾构机的销售、租赁、再制造、维修改造业务</w:t>
            </w:r>
            <w:r>
              <w:rPr>
                <w:rFonts w:hint="eastAsia" w:ascii="Arial" w:hAnsi="Arial" w:cs="Arial"/>
                <w:sz w:val="28"/>
                <w:szCs w:val="28"/>
                <w:lang w:eastAsia="zh-CN"/>
              </w:rPr>
              <w:t>；</w:t>
            </w:r>
            <w:r>
              <w:rPr>
                <w:rFonts w:hint="eastAsia" w:ascii="Arial" w:hAnsi="Arial" w:cs="Arial"/>
                <w:sz w:val="28"/>
                <w:szCs w:val="28"/>
              </w:rPr>
              <w:t>隧道专用设备、水平运输、刀具的销售业务、技术服务</w:t>
            </w:r>
            <w:r>
              <w:rPr>
                <w:rFonts w:hint="eastAsia" w:ascii="Arial" w:hAnsi="Arial" w:cs="Arial"/>
                <w:sz w:val="28"/>
                <w:szCs w:val="28"/>
                <w:lang w:eastAsia="zh-CN"/>
              </w:rPr>
              <w:t>；</w:t>
            </w:r>
            <w:r>
              <w:rPr>
                <w:rFonts w:hint="eastAsia" w:ascii="Arial" w:hAnsi="Arial" w:cs="Arial"/>
                <w:sz w:val="28"/>
                <w:szCs w:val="28"/>
              </w:rPr>
              <w:t>混凝土管片、皮带机、掘锚一体机的销售业务、设计咨询、工程分包等业务。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tcPr>
          <w:p>
            <w:pPr>
              <w:spacing w:line="500" w:lineRule="exact"/>
              <w:rPr>
                <w:rFonts w:ascii="Arial" w:hAnsi="Arial" w:cs="Arial"/>
                <w:sz w:val="28"/>
                <w:szCs w:val="28"/>
              </w:rPr>
            </w:pPr>
          </w:p>
        </w:tc>
        <w:tc>
          <w:tcPr>
            <w:tcW w:w="1796" w:type="dxa"/>
          </w:tcPr>
          <w:p>
            <w:pPr>
              <w:spacing w:line="500" w:lineRule="exact"/>
              <w:rPr>
                <w:rFonts w:ascii="Arial" w:hAnsi="Arial" w:cs="Arial"/>
                <w:sz w:val="28"/>
                <w:szCs w:val="28"/>
              </w:rPr>
            </w:pPr>
            <w:r>
              <w:rPr>
                <w:rFonts w:ascii="Arial" w:hAnsi="Arial" w:cs="Arial"/>
                <w:sz w:val="28"/>
                <w:szCs w:val="28"/>
              </w:rPr>
              <w:t>2、</w:t>
            </w:r>
            <w:r>
              <w:rPr>
                <w:rFonts w:hint="eastAsia" w:ascii="Arial" w:hAnsi="Arial" w:cs="Arial"/>
                <w:sz w:val="28"/>
                <w:szCs w:val="28"/>
              </w:rPr>
              <w:t>黄河设计院</w:t>
            </w:r>
          </w:p>
        </w:tc>
        <w:tc>
          <w:tcPr>
            <w:tcW w:w="5153" w:type="dxa"/>
          </w:tcPr>
          <w:p>
            <w:pPr>
              <w:spacing w:line="500" w:lineRule="exact"/>
              <w:rPr>
                <w:rFonts w:ascii="Arial" w:hAnsi="Arial" w:cs="Arial"/>
                <w:sz w:val="28"/>
                <w:szCs w:val="28"/>
              </w:rPr>
            </w:pPr>
            <w:r>
              <w:rPr>
                <w:rFonts w:hint="eastAsia" w:ascii="Arial" w:hAnsi="Arial" w:cs="Arial"/>
                <w:sz w:val="28"/>
                <w:szCs w:val="28"/>
              </w:rPr>
              <w:t>黄河设计院始建于1956年，2003年9月16日改制为有限责任公司，注册地位为河南省郑州市</w:t>
            </w:r>
            <w:r>
              <w:rPr>
                <w:rFonts w:hint="eastAsia" w:ascii="Arial" w:hAnsi="Arial" w:cs="Arial"/>
                <w:sz w:val="28"/>
                <w:szCs w:val="28"/>
                <w:lang w:eastAsia="zh-CN"/>
              </w:rPr>
              <w:t>。</w:t>
            </w:r>
            <w:r>
              <w:rPr>
                <w:rFonts w:hint="eastAsia" w:ascii="Arial" w:hAnsi="Arial" w:cs="Arial"/>
                <w:sz w:val="28"/>
                <w:szCs w:val="28"/>
              </w:rPr>
              <w:t>黄河设计院主要从事流域和区域规划、工程勘察、设计、科研、咨询、监理、项目管理、工程总承包及投资运营业务。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Arial" w:hAnsi="Arial" w:cs="Arial"/>
                <w:sz w:val="28"/>
                <w:szCs w:val="28"/>
              </w:rPr>
            </w:pPr>
            <w:r>
              <w:rPr>
                <w:rFonts w:ascii="Arial" w:hAnsi="Arial" w:cs="Arial"/>
                <w:sz w:val="28"/>
                <w:szCs w:val="28"/>
              </w:rPr>
              <w:t>简易案件理由（可以单选，也可以多选）</w:t>
            </w:r>
          </w:p>
        </w:tc>
        <w:tc>
          <w:tcPr>
            <w:tcW w:w="6949" w:type="dxa"/>
            <w:gridSpan w:val="2"/>
          </w:tcPr>
          <w:p>
            <w:pPr>
              <w:spacing w:line="500" w:lineRule="exact"/>
              <w:rPr>
                <w:rFonts w:ascii="Arial" w:hAnsi="Arial" w:cs="Arial"/>
                <w:sz w:val="28"/>
                <w:szCs w:val="28"/>
              </w:rPr>
            </w:pPr>
            <w:r>
              <w:rPr>
                <w:rFonts w:hint="eastAsia" w:ascii="宋体" w:hAnsi="宋体"/>
                <w:szCs w:val="21"/>
              </w:rPr>
              <w:sym w:font="Wingdings" w:char="F0A8"/>
            </w:r>
            <w:r>
              <w:rPr>
                <w:rFonts w:ascii="Arial" w:hAnsi="Arial" w:cs="Arial"/>
                <w:sz w:val="32"/>
                <w:szCs w:val="21"/>
              </w:rPr>
              <w:t xml:space="preserve"> </w:t>
            </w:r>
            <w:r>
              <w:rPr>
                <w:rFonts w:ascii="Arial" w:hAnsi="Arial" w:cs="Arial"/>
                <w:sz w:val="28"/>
                <w:szCs w:val="28"/>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Arial" w:hAnsi="Arial" w:cs="Arial"/>
                <w:sz w:val="28"/>
                <w:szCs w:val="28"/>
              </w:rPr>
            </w:pPr>
          </w:p>
        </w:tc>
        <w:tc>
          <w:tcPr>
            <w:tcW w:w="6949" w:type="dxa"/>
            <w:gridSpan w:val="2"/>
          </w:tcPr>
          <w:p>
            <w:pPr>
              <w:spacing w:line="500" w:lineRule="exact"/>
              <w:rPr>
                <w:rFonts w:ascii="Arial" w:hAnsi="Arial" w:cs="Arial"/>
                <w:sz w:val="28"/>
                <w:szCs w:val="28"/>
              </w:rPr>
            </w:pPr>
            <w:r>
              <w:rPr>
                <w:rFonts w:hint="eastAsia" w:ascii="宋体" w:hAnsi="宋体"/>
                <w:szCs w:val="21"/>
              </w:rPr>
              <w:sym w:font="Wingdings" w:char="F0A8"/>
            </w:r>
            <w:r>
              <w:rPr>
                <w:rFonts w:ascii="Arial" w:hAnsi="Arial" w:cs="Arial"/>
                <w:sz w:val="32"/>
                <w:szCs w:val="21"/>
              </w:rPr>
              <w:t xml:space="preserve"> </w:t>
            </w:r>
            <w:r>
              <w:rPr>
                <w:rFonts w:ascii="Arial" w:hAnsi="Arial" w:cs="Arial"/>
                <w:sz w:val="28"/>
                <w:szCs w:val="28"/>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Arial" w:hAnsi="Arial" w:cs="Arial"/>
                <w:sz w:val="28"/>
                <w:szCs w:val="28"/>
              </w:rPr>
            </w:pPr>
          </w:p>
        </w:tc>
        <w:tc>
          <w:tcPr>
            <w:tcW w:w="6949" w:type="dxa"/>
            <w:gridSpan w:val="2"/>
          </w:tcPr>
          <w:p>
            <w:pPr>
              <w:spacing w:line="500" w:lineRule="exact"/>
              <w:rPr>
                <w:rFonts w:ascii="Arial" w:hAnsi="Arial" w:cs="Arial"/>
                <w:sz w:val="28"/>
                <w:szCs w:val="28"/>
              </w:rPr>
            </w:pPr>
            <w:r>
              <w:rPr>
                <w:rFonts w:ascii="Arial" w:hAnsi="Arial" w:cs="Arial"/>
                <w:sz w:val="32"/>
                <w:szCs w:val="21"/>
              </w:rPr>
              <w:sym w:font="Wingdings" w:char="F0FE"/>
            </w:r>
            <w:r>
              <w:rPr>
                <w:rFonts w:ascii="Arial" w:hAnsi="Arial" w:cs="Arial"/>
                <w:sz w:val="28"/>
                <w:szCs w:val="28"/>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Arial" w:hAnsi="Arial" w:cs="Arial"/>
                <w:sz w:val="28"/>
                <w:szCs w:val="28"/>
              </w:rPr>
            </w:pPr>
          </w:p>
        </w:tc>
        <w:tc>
          <w:tcPr>
            <w:tcW w:w="6949" w:type="dxa"/>
            <w:gridSpan w:val="2"/>
          </w:tcPr>
          <w:p>
            <w:pPr>
              <w:spacing w:line="500" w:lineRule="exact"/>
              <w:rPr>
                <w:rFonts w:ascii="Arial" w:hAnsi="Arial" w:cs="Arial"/>
                <w:sz w:val="28"/>
                <w:szCs w:val="28"/>
              </w:rPr>
            </w:pPr>
            <w:r>
              <w:rPr>
                <w:rFonts w:ascii="Arial" w:hAnsi="Arial" w:cs="Arial"/>
                <w:sz w:val="28"/>
                <w:szCs w:val="28"/>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Arial" w:hAnsi="Arial" w:cs="Arial"/>
                <w:sz w:val="28"/>
                <w:szCs w:val="28"/>
              </w:rPr>
            </w:pPr>
          </w:p>
        </w:tc>
        <w:tc>
          <w:tcPr>
            <w:tcW w:w="6949" w:type="dxa"/>
            <w:gridSpan w:val="2"/>
          </w:tcPr>
          <w:p>
            <w:pPr>
              <w:spacing w:line="500" w:lineRule="exact"/>
              <w:rPr>
                <w:rFonts w:ascii="Arial" w:hAnsi="Arial" w:cs="Arial"/>
                <w:sz w:val="28"/>
                <w:szCs w:val="28"/>
              </w:rPr>
            </w:pPr>
            <w:r>
              <w:rPr>
                <w:rFonts w:ascii="Arial" w:hAnsi="Arial" w:cs="Arial"/>
                <w:sz w:val="28"/>
                <w:szCs w:val="28"/>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Arial" w:hAnsi="Arial" w:cs="Arial"/>
                <w:sz w:val="28"/>
                <w:szCs w:val="28"/>
              </w:rPr>
            </w:pPr>
          </w:p>
        </w:tc>
        <w:tc>
          <w:tcPr>
            <w:tcW w:w="6949" w:type="dxa"/>
            <w:gridSpan w:val="2"/>
          </w:tcPr>
          <w:p>
            <w:pPr>
              <w:spacing w:line="500" w:lineRule="exact"/>
              <w:rPr>
                <w:rFonts w:ascii="Arial" w:hAnsi="Arial" w:cs="Arial"/>
                <w:sz w:val="28"/>
                <w:szCs w:val="28"/>
              </w:rPr>
            </w:pPr>
            <w:r>
              <w:rPr>
                <w:rFonts w:ascii="Arial" w:hAnsi="Arial" w:cs="Arial"/>
                <w:sz w:val="28"/>
                <w:szCs w:val="28"/>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Arial" w:hAnsi="Arial" w:cs="Arial"/>
                <w:sz w:val="28"/>
                <w:szCs w:val="28"/>
              </w:rPr>
            </w:pPr>
            <w:r>
              <w:rPr>
                <w:rFonts w:ascii="Arial" w:hAnsi="Arial" w:cs="Arial"/>
                <w:sz w:val="28"/>
                <w:szCs w:val="28"/>
              </w:rPr>
              <w:t>备注</w:t>
            </w:r>
          </w:p>
        </w:tc>
        <w:tc>
          <w:tcPr>
            <w:tcW w:w="6949" w:type="dxa"/>
            <w:gridSpan w:val="2"/>
          </w:tcPr>
          <w:p>
            <w:pPr>
              <w:pStyle w:val="12"/>
              <w:numPr>
                <w:ilvl w:val="0"/>
                <w:numId w:val="1"/>
              </w:numPr>
              <w:spacing w:line="500" w:lineRule="exact"/>
              <w:ind w:firstLineChars="0"/>
              <w:rPr>
                <w:rFonts w:ascii="Arial" w:hAnsi="Arial" w:cs="Arial"/>
                <w:sz w:val="28"/>
                <w:szCs w:val="28"/>
              </w:rPr>
            </w:pPr>
            <w:r>
              <w:rPr>
                <w:rFonts w:hint="eastAsia" w:ascii="Arial" w:hAnsi="Arial" w:cs="Arial"/>
                <w:sz w:val="28"/>
                <w:szCs w:val="28"/>
              </w:rPr>
              <w:t>相关商品市场：城市地下空间工程咨询服务</w:t>
            </w:r>
          </w:p>
          <w:p>
            <w:pPr>
              <w:pStyle w:val="12"/>
              <w:numPr>
                <w:ilvl w:val="0"/>
                <w:numId w:val="1"/>
              </w:numPr>
              <w:spacing w:line="500" w:lineRule="exact"/>
              <w:ind w:firstLineChars="0"/>
              <w:rPr>
                <w:rFonts w:ascii="Arial" w:hAnsi="Arial" w:cs="Arial"/>
                <w:sz w:val="28"/>
                <w:szCs w:val="28"/>
              </w:rPr>
            </w:pPr>
            <w:r>
              <w:rPr>
                <w:rFonts w:hint="eastAsia" w:ascii="Arial" w:hAnsi="Arial" w:cs="Arial"/>
                <w:sz w:val="28"/>
                <w:szCs w:val="28"/>
              </w:rPr>
              <w:t>相关地域市场：中国</w:t>
            </w:r>
          </w:p>
          <w:p>
            <w:pPr>
              <w:pStyle w:val="12"/>
              <w:numPr>
                <w:ilvl w:val="0"/>
                <w:numId w:val="1"/>
              </w:numPr>
              <w:spacing w:line="500" w:lineRule="exact"/>
              <w:ind w:firstLineChars="0"/>
              <w:rPr>
                <w:rFonts w:ascii="Arial" w:hAnsi="Arial" w:cs="Arial"/>
                <w:sz w:val="28"/>
                <w:szCs w:val="28"/>
              </w:rPr>
            </w:pPr>
            <w:r>
              <w:rPr>
                <w:rFonts w:hint="eastAsia" w:ascii="Arial" w:hAnsi="Arial" w:cs="Arial"/>
                <w:sz w:val="28"/>
                <w:szCs w:val="28"/>
              </w:rPr>
              <w:t>市场份额：</w:t>
            </w:r>
          </w:p>
          <w:p>
            <w:pPr>
              <w:pStyle w:val="12"/>
              <w:numPr>
                <w:ilvl w:val="0"/>
                <w:numId w:val="2"/>
              </w:numPr>
              <w:spacing w:line="500" w:lineRule="exact"/>
              <w:ind w:left="405" w:firstLineChars="0"/>
              <w:rPr>
                <w:rFonts w:ascii="Arial" w:hAnsi="Arial" w:cs="Arial"/>
                <w:sz w:val="28"/>
                <w:szCs w:val="28"/>
              </w:rPr>
            </w:pPr>
            <w:r>
              <w:rPr>
                <w:rFonts w:hint="eastAsia" w:ascii="Arial" w:hAnsi="Arial" w:cs="Arial"/>
                <w:sz w:val="28"/>
                <w:szCs w:val="28"/>
              </w:rPr>
              <w:t>中铁装备的市场份额：0</w:t>
            </w:r>
            <w:r>
              <w:rPr>
                <w:rFonts w:ascii="Arial" w:hAnsi="Arial" w:cs="Arial"/>
                <w:sz w:val="28"/>
                <w:szCs w:val="28"/>
              </w:rPr>
              <w:t>-5%</w:t>
            </w:r>
          </w:p>
          <w:p>
            <w:pPr>
              <w:pStyle w:val="12"/>
              <w:numPr>
                <w:ilvl w:val="0"/>
                <w:numId w:val="2"/>
              </w:numPr>
              <w:spacing w:line="500" w:lineRule="exact"/>
              <w:ind w:left="405" w:firstLineChars="0"/>
              <w:rPr>
                <w:rFonts w:ascii="Arial" w:hAnsi="Arial" w:cs="Arial"/>
                <w:sz w:val="28"/>
                <w:szCs w:val="28"/>
              </w:rPr>
            </w:pPr>
            <w:r>
              <w:rPr>
                <w:rFonts w:hint="eastAsia" w:ascii="Arial" w:hAnsi="Arial" w:cs="Arial"/>
                <w:sz w:val="28"/>
                <w:szCs w:val="28"/>
              </w:rPr>
              <w:t>黄河设计院的市场份额：0</w:t>
            </w:r>
            <w:r>
              <w:rPr>
                <w:rFonts w:ascii="Arial" w:hAnsi="Arial" w:cs="Arial"/>
                <w:sz w:val="28"/>
                <w:szCs w:val="28"/>
              </w:rPr>
              <w:t>-5%</w:t>
            </w:r>
          </w:p>
          <w:p>
            <w:pPr>
              <w:pStyle w:val="12"/>
              <w:numPr>
                <w:ilvl w:val="0"/>
                <w:numId w:val="2"/>
              </w:numPr>
              <w:spacing w:line="500" w:lineRule="exact"/>
              <w:ind w:left="405" w:firstLineChars="0"/>
              <w:rPr>
                <w:rFonts w:ascii="Arial" w:hAnsi="Arial" w:cs="Arial"/>
                <w:sz w:val="28"/>
                <w:szCs w:val="28"/>
                <w:shd w:val="pct10" w:color="auto" w:fill="FFFFFF"/>
              </w:rPr>
            </w:pPr>
            <w:r>
              <w:rPr>
                <w:rFonts w:hint="eastAsia" w:ascii="Arial" w:hAnsi="Arial" w:cs="Arial"/>
                <w:sz w:val="28"/>
                <w:szCs w:val="28"/>
              </w:rPr>
              <w:t>合营企业的预测市场份额：0-</w:t>
            </w:r>
            <w:r>
              <w:rPr>
                <w:rFonts w:ascii="Arial" w:hAnsi="Arial" w:cs="Arial"/>
                <w:sz w:val="28"/>
                <w:szCs w:val="28"/>
              </w:rPr>
              <w:t>5%</w:t>
            </w:r>
          </w:p>
        </w:tc>
      </w:tr>
    </w:tbl>
    <w:p>
      <w:pPr>
        <w:snapToGrid w:val="0"/>
        <w:spacing w:line="240" w:lineRule="exact"/>
        <w:jc w:val="left"/>
        <w:rPr>
          <w:rFonts w:ascii="Arial" w:hAnsi="Arial" w:cs="Arial"/>
          <w:sz w:val="24"/>
          <w:szCs w:val="24"/>
        </w:rPr>
      </w:pPr>
    </w:p>
    <w:p>
      <w:pPr>
        <w:rPr>
          <w:rFonts w:ascii="Arial" w:hAnsi="Arial" w:cs="Aria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5D4B91"/>
    <w:multiLevelType w:val="multilevel"/>
    <w:tmpl w:val="2B5D4B91"/>
    <w:lvl w:ilvl="0" w:tentative="0">
      <w:start w:val="1"/>
      <w:numFmt w:val="bullet"/>
      <w:lvlText w:val=""/>
      <w:lvlJc w:val="left"/>
      <w:pPr>
        <w:ind w:left="780" w:hanging="420"/>
      </w:pPr>
      <w:rPr>
        <w:rFonts w:hint="default" w:ascii="Wingdings" w:hAnsi="Wingdings"/>
        <w:sz w:val="13"/>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5E3E314D"/>
    <w:multiLevelType w:val="multilevel"/>
    <w:tmpl w:val="5E3E31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24AA8"/>
    <w:rsid w:val="00086519"/>
    <w:rsid w:val="00094095"/>
    <w:rsid w:val="00096A50"/>
    <w:rsid w:val="001B7466"/>
    <w:rsid w:val="00245776"/>
    <w:rsid w:val="00252525"/>
    <w:rsid w:val="0029549A"/>
    <w:rsid w:val="002A168C"/>
    <w:rsid w:val="002A3524"/>
    <w:rsid w:val="002B6414"/>
    <w:rsid w:val="002E46BA"/>
    <w:rsid w:val="002F2D60"/>
    <w:rsid w:val="00307976"/>
    <w:rsid w:val="003335DD"/>
    <w:rsid w:val="003706DB"/>
    <w:rsid w:val="003A4072"/>
    <w:rsid w:val="003D00DC"/>
    <w:rsid w:val="004259BB"/>
    <w:rsid w:val="00462174"/>
    <w:rsid w:val="004647D8"/>
    <w:rsid w:val="004F168A"/>
    <w:rsid w:val="00526B11"/>
    <w:rsid w:val="00532334"/>
    <w:rsid w:val="00540EDC"/>
    <w:rsid w:val="00574AD1"/>
    <w:rsid w:val="005D4D3E"/>
    <w:rsid w:val="005F167B"/>
    <w:rsid w:val="006A22B8"/>
    <w:rsid w:val="007009DE"/>
    <w:rsid w:val="007228F8"/>
    <w:rsid w:val="00730EF4"/>
    <w:rsid w:val="007423F1"/>
    <w:rsid w:val="00743427"/>
    <w:rsid w:val="00770D00"/>
    <w:rsid w:val="00785ECC"/>
    <w:rsid w:val="0084563C"/>
    <w:rsid w:val="0086388E"/>
    <w:rsid w:val="008837CD"/>
    <w:rsid w:val="008F70DE"/>
    <w:rsid w:val="00912D17"/>
    <w:rsid w:val="00981A88"/>
    <w:rsid w:val="009F0E38"/>
    <w:rsid w:val="00A6549C"/>
    <w:rsid w:val="00A84604"/>
    <w:rsid w:val="00AB6C08"/>
    <w:rsid w:val="00AC0D27"/>
    <w:rsid w:val="00AF5A82"/>
    <w:rsid w:val="00B13A6D"/>
    <w:rsid w:val="00B955F5"/>
    <w:rsid w:val="00BA0750"/>
    <w:rsid w:val="00BA51CB"/>
    <w:rsid w:val="00BB2377"/>
    <w:rsid w:val="00BC25CC"/>
    <w:rsid w:val="00C54F71"/>
    <w:rsid w:val="00C9068E"/>
    <w:rsid w:val="00CC7BD1"/>
    <w:rsid w:val="00D21777"/>
    <w:rsid w:val="00E15698"/>
    <w:rsid w:val="00E30471"/>
    <w:rsid w:val="00E677B7"/>
    <w:rsid w:val="00ED21B1"/>
    <w:rsid w:val="00F25048"/>
    <w:rsid w:val="00F5284C"/>
    <w:rsid w:val="00F65523"/>
    <w:rsid w:val="00F7543C"/>
    <w:rsid w:val="00F87C1F"/>
    <w:rsid w:val="00FC2838"/>
    <w:rsid w:val="00FE787E"/>
    <w:rsid w:val="4E0F2223"/>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9"/>
    <w:semiHidden/>
    <w:unhideWhenUsed/>
    <w:qFormat/>
    <w:uiPriority w:val="99"/>
    <w:pPr>
      <w:snapToGrid w:val="0"/>
      <w:jc w:val="left"/>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ndnote reference"/>
    <w:semiHidden/>
    <w:unhideWhenUsed/>
    <w:qFormat/>
    <w:uiPriority w:val="99"/>
    <w:rPr>
      <w:vertAlign w:val="superscript"/>
    </w:rPr>
  </w:style>
  <w:style w:type="character" w:customStyle="1" w:styleId="9">
    <w:name w:val="尾注文本 字符"/>
    <w:basedOn w:val="7"/>
    <w:link w:val="2"/>
    <w:semiHidden/>
    <w:qFormat/>
    <w:uiPriority w:val="99"/>
  </w:style>
  <w:style w:type="character" w:customStyle="1" w:styleId="10">
    <w:name w:val="页眉 字符"/>
    <w:link w:val="4"/>
    <w:uiPriority w:val="99"/>
    <w:rPr>
      <w:sz w:val="18"/>
      <w:szCs w:val="18"/>
    </w:rPr>
  </w:style>
  <w:style w:type="character" w:customStyle="1" w:styleId="11">
    <w:name w:val="页脚 字符"/>
    <w:link w:val="3"/>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9D7AC-EBDA-4902-8C9E-C1339F49629B}">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691</Characters>
  <Lines>5</Lines>
  <Paragraphs>1</Paragraphs>
  <TotalTime>0</TotalTime>
  <ScaleCrop>false</ScaleCrop>
  <LinksUpToDate>false</LinksUpToDate>
  <CharactersWithSpaces>811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2020-12-17T07:05:00Z</dcterms:created>
  <dc:creator>dell</dc:creator>
  <cp:lastModifiedBy>杨钧翰</cp:lastModifiedBy>
  <cp:lastPrinted>2014-10-08T02:48:00Z</cp:lastPrinted>
  <dcterms:modified xsi:type="dcterms:W3CDTF">2021-11-02T09:33:06Z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A42941553</vt:lpwstr>
  </property>
  <property fmtid="{D5CDD505-2E9C-101B-9397-08002B2CF9AE}" pid="3" name="Version">
    <vt:lpwstr>0.1</vt:lpwstr>
  </property>
  <property fmtid="{D5CDD505-2E9C-101B-9397-08002B2CF9AE}" pid="4" name="Last Modified">
    <vt:lpwstr>12 Nov 2020</vt:lpwstr>
  </property>
  <property fmtid="{D5CDD505-2E9C-101B-9397-08002B2CF9AE}" pid="5" name="Matter Number">
    <vt:lpwstr>L-305488</vt:lpwstr>
  </property>
  <property fmtid="{D5CDD505-2E9C-101B-9397-08002B2CF9AE}" pid="6" name="Client Code">
    <vt:lpwstr>10030628</vt:lpwstr>
  </property>
  <property fmtid="{D5CDD505-2E9C-101B-9397-08002B2CF9AE}" pid="7" name="Mode">
    <vt:lpwstr>SendAs</vt:lpwstr>
  </property>
  <property fmtid="{D5CDD505-2E9C-101B-9397-08002B2CF9AE}" pid="8" name="DEDocumentLocation">
    <vt:lpwstr>C:\Users\xliao\AppData\Local\Linklaters\DocExplorer\Attachments\A42941553 v0.1 bp-SPG_Simple Case Publicity Form_CN.docx</vt:lpwstr>
  </property>
  <property fmtid="{D5CDD505-2E9C-101B-9397-08002B2CF9AE}" pid="9" name="ObjectID">
    <vt:lpwstr>09001dc8951dfbbb</vt:lpwstr>
  </property>
  <property fmtid="{D5CDD505-2E9C-101B-9397-08002B2CF9AE}" pid="10" name="_MarkAsFinal">
    <vt:bool>false</vt:bool>
  </property>
  <property fmtid="{D5CDD505-2E9C-101B-9397-08002B2CF9AE}" pid="11" name="KSOProductBuildVer">
    <vt:lpwstr>2052-11.8.2.10393</vt:lpwstr>
  </property>
</Properties>
</file>