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572F" w14:textId="77777777" w:rsidR="00094095" w:rsidRPr="008E7B8C" w:rsidRDefault="00094095" w:rsidP="00094095">
      <w:pPr>
        <w:spacing w:line="440" w:lineRule="exact"/>
        <w:jc w:val="center"/>
        <w:rPr>
          <w:rFonts w:ascii="黑体" w:eastAsia="黑体" w:hAnsi="Times New Roman"/>
          <w:sz w:val="30"/>
          <w:szCs w:val="30"/>
        </w:rPr>
      </w:pPr>
      <w:r w:rsidRPr="00202C4C">
        <w:rPr>
          <w:rFonts w:ascii="黑体" w:eastAsia="黑体" w:hAnsi="Times New Roman" w:hint="eastAsia"/>
          <w:sz w:val="30"/>
          <w:szCs w:val="30"/>
        </w:rPr>
        <w:t>经营者集中简易案件公示表</w:t>
      </w:r>
    </w:p>
    <w:p w14:paraId="5FFA71AD" w14:textId="77777777" w:rsidR="00094095" w:rsidRPr="00BA1596" w:rsidRDefault="00094095" w:rsidP="00227057">
      <w:pPr>
        <w:spacing w:line="440" w:lineRule="exact"/>
        <w:rPr>
          <w:rFonts w:ascii="仿宋_GB2312" w:eastAsia="仿宋_GB2312" w:hAnsi="Times New Roman"/>
          <w:sz w:val="28"/>
          <w:szCs w:val="28"/>
        </w:rPr>
      </w:pPr>
    </w:p>
    <w:tbl>
      <w:tblPr>
        <w:tblW w:w="90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928"/>
      </w:tblGrid>
      <w:tr w:rsidR="00227057" w:rsidRPr="002F2D60" w14:paraId="5D3B04A5" w14:textId="77777777" w:rsidTr="003C5AF1">
        <w:trPr>
          <w:trHeight w:val="953"/>
        </w:trPr>
        <w:tc>
          <w:tcPr>
            <w:tcW w:w="1418" w:type="dxa"/>
            <w:shd w:val="clear" w:color="auto" w:fill="D9D9D9"/>
          </w:tcPr>
          <w:p w14:paraId="25E7DE41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案件名称</w:t>
            </w:r>
          </w:p>
        </w:tc>
        <w:tc>
          <w:tcPr>
            <w:tcW w:w="7629" w:type="dxa"/>
            <w:gridSpan w:val="2"/>
            <w:vAlign w:val="center"/>
          </w:tcPr>
          <w:p w14:paraId="4B462660" w14:textId="310E9334" w:rsidR="00227057" w:rsidRPr="00302A13" w:rsidRDefault="005E60C8" w:rsidP="006F3AA5">
            <w:pPr>
              <w:spacing w:line="500" w:lineRule="exact"/>
              <w:rPr>
                <w:rFonts w:ascii="Arial" w:hAnsi="Arial" w:cs="Arial"/>
                <w:color w:val="0000FF"/>
                <w:kern w:val="0"/>
                <w:szCs w:val="21"/>
              </w:rPr>
            </w:pP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威立雅环境集团</w:t>
            </w:r>
            <w:r w:rsidRPr="005E60C8">
              <w:rPr>
                <w:rFonts w:ascii="Arial" w:eastAsia="仿宋_GB2312" w:hAnsi="Arial" w:cs="Arial"/>
                <w:sz w:val="28"/>
                <w:szCs w:val="28"/>
              </w:rPr>
              <w:t>（</w:t>
            </w:r>
            <w:r w:rsidRPr="005E60C8">
              <w:rPr>
                <w:rFonts w:ascii="Arial" w:eastAsia="仿宋_GB2312" w:hAnsi="Arial" w:cs="Arial"/>
                <w:sz w:val="28"/>
                <w:szCs w:val="28"/>
              </w:rPr>
              <w:t>Veolia Environnement S.A.</w:t>
            </w:r>
            <w:r w:rsidRPr="005E60C8">
              <w:rPr>
                <w:rFonts w:ascii="Arial" w:eastAsia="仿宋_GB2312" w:hAnsi="Arial" w:cs="Arial"/>
                <w:sz w:val="28"/>
                <w:szCs w:val="28"/>
              </w:rPr>
              <w:t>）</w:t>
            </w:r>
            <w:r w:rsidR="007C47D1">
              <w:rPr>
                <w:rFonts w:ascii="Arial" w:eastAsia="仿宋_GB2312" w:hAnsi="Arial" w:cs="Arial" w:hint="eastAsia"/>
                <w:sz w:val="28"/>
                <w:szCs w:val="28"/>
              </w:rPr>
              <w:t>（“</w:t>
            </w:r>
            <w:r w:rsidR="007C47D1" w:rsidRPr="006E55C1">
              <w:rPr>
                <w:rFonts w:ascii="Arial" w:eastAsia="仿宋_GB2312" w:hAnsi="Arial" w:cs="Arial" w:hint="eastAsia"/>
                <w:b/>
                <w:bCs/>
                <w:sz w:val="28"/>
                <w:szCs w:val="28"/>
              </w:rPr>
              <w:t>威立雅</w:t>
            </w:r>
            <w:r w:rsidR="007C47D1">
              <w:rPr>
                <w:rFonts w:ascii="Arial" w:eastAsia="仿宋_GB2312" w:hAnsi="Arial" w:cs="Arial" w:hint="eastAsia"/>
                <w:sz w:val="28"/>
                <w:szCs w:val="28"/>
              </w:rPr>
              <w:t>”）</w:t>
            </w:r>
            <w:r w:rsidRPr="005E60C8">
              <w:rPr>
                <w:rFonts w:ascii="Arial" w:eastAsia="仿宋_GB2312" w:hAnsi="Arial" w:cs="Arial"/>
                <w:sz w:val="28"/>
                <w:szCs w:val="28"/>
              </w:rPr>
              <w:t>与法国电力集团（</w:t>
            </w:r>
            <w:r w:rsidRPr="005E60C8">
              <w:rPr>
                <w:rFonts w:ascii="Arial" w:eastAsia="仿宋_GB2312" w:hAnsi="Arial" w:cs="Arial"/>
                <w:sz w:val="28"/>
                <w:szCs w:val="28"/>
              </w:rPr>
              <w:t>Electricité de France SA</w:t>
            </w: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）新设合营企业案</w:t>
            </w:r>
          </w:p>
        </w:tc>
      </w:tr>
      <w:tr w:rsidR="00227057" w:rsidRPr="002F2D60" w14:paraId="266308C1" w14:textId="77777777" w:rsidTr="003C5AF1">
        <w:trPr>
          <w:trHeight w:val="993"/>
        </w:trPr>
        <w:tc>
          <w:tcPr>
            <w:tcW w:w="1418" w:type="dxa"/>
            <w:shd w:val="clear" w:color="auto" w:fill="D9D9D9"/>
          </w:tcPr>
          <w:p w14:paraId="3C2E0AA1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交易概况（限200字内）</w:t>
            </w:r>
          </w:p>
        </w:tc>
        <w:tc>
          <w:tcPr>
            <w:tcW w:w="7629" w:type="dxa"/>
            <w:gridSpan w:val="2"/>
          </w:tcPr>
          <w:p w14:paraId="4D5A906A" w14:textId="31957385" w:rsidR="00227057" w:rsidRPr="00302A13" w:rsidRDefault="005E60C8" w:rsidP="00227057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威立雅</w:t>
            </w:r>
            <w:r w:rsidR="008068E7">
              <w:rPr>
                <w:rFonts w:ascii="Arial" w:eastAsia="仿宋_GB2312" w:hAnsi="Arial" w:cs="Arial" w:hint="eastAsia"/>
                <w:sz w:val="28"/>
                <w:szCs w:val="28"/>
              </w:rPr>
              <w:t>与法国电力集团</w:t>
            </w:r>
            <w:r w:rsidR="002C6344">
              <w:rPr>
                <w:rFonts w:ascii="Arial" w:eastAsia="仿宋_GB2312" w:hAnsi="Arial" w:cs="Arial" w:hint="eastAsia"/>
                <w:sz w:val="28"/>
                <w:szCs w:val="28"/>
              </w:rPr>
              <w:t>拟</w:t>
            </w:r>
            <w:r w:rsidR="00A34471">
              <w:rPr>
                <w:rFonts w:ascii="Arial" w:eastAsia="仿宋_GB2312" w:hAnsi="Arial" w:cs="Arial" w:hint="eastAsia"/>
                <w:sz w:val="28"/>
                <w:szCs w:val="28"/>
              </w:rPr>
              <w:t>通过</w:t>
            </w:r>
            <w:r w:rsidR="00650475">
              <w:rPr>
                <w:rFonts w:ascii="Arial" w:eastAsia="仿宋_GB2312" w:hAnsi="Arial" w:cs="Arial" w:hint="eastAsia"/>
                <w:sz w:val="28"/>
                <w:szCs w:val="28"/>
              </w:rPr>
              <w:t>其</w:t>
            </w:r>
            <w:r w:rsidR="00A34471">
              <w:rPr>
                <w:rFonts w:ascii="Arial" w:eastAsia="仿宋_GB2312" w:hAnsi="Arial" w:cs="Arial" w:hint="eastAsia"/>
                <w:sz w:val="28"/>
                <w:szCs w:val="28"/>
              </w:rPr>
              <w:t>各自</w:t>
            </w:r>
            <w:r w:rsidR="00650475">
              <w:rPr>
                <w:rFonts w:ascii="Arial" w:eastAsia="仿宋_GB2312" w:hAnsi="Arial" w:cs="Arial" w:hint="eastAsia"/>
                <w:sz w:val="28"/>
                <w:szCs w:val="28"/>
              </w:rPr>
              <w:t>子公司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设立</w:t>
            </w:r>
            <w:r w:rsidR="00650475">
              <w:rPr>
                <w:rFonts w:ascii="Arial" w:eastAsia="仿宋_GB2312" w:hAnsi="Arial" w:cs="Arial" w:hint="eastAsia"/>
                <w:sz w:val="28"/>
                <w:szCs w:val="28"/>
              </w:rPr>
              <w:t>一</w:t>
            </w:r>
            <w:r w:rsidR="002C6344">
              <w:rPr>
                <w:rFonts w:ascii="Arial" w:eastAsia="仿宋_GB2312" w:hAnsi="Arial" w:cs="Arial" w:hint="eastAsia"/>
                <w:sz w:val="28"/>
                <w:szCs w:val="28"/>
              </w:rPr>
              <w:t>家</w:t>
            </w:r>
            <w:r w:rsidR="00650475">
              <w:rPr>
                <w:rFonts w:ascii="Arial" w:eastAsia="仿宋_GB2312" w:hAnsi="Arial" w:cs="Arial" w:hint="eastAsia"/>
                <w:sz w:val="28"/>
                <w:szCs w:val="28"/>
              </w:rPr>
              <w:t>或多</w:t>
            </w:r>
            <w:r w:rsidR="002C6344">
              <w:rPr>
                <w:rFonts w:ascii="Arial" w:eastAsia="仿宋_GB2312" w:hAnsi="Arial" w:cs="Arial" w:hint="eastAsia"/>
                <w:sz w:val="28"/>
                <w:szCs w:val="28"/>
              </w:rPr>
              <w:t>家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合营企业，</w:t>
            </w:r>
            <w:r w:rsidR="002C6344">
              <w:rPr>
                <w:rFonts w:ascii="Arial" w:eastAsia="仿宋_GB2312" w:hAnsi="Arial" w:cs="Arial" w:hint="eastAsia"/>
                <w:sz w:val="28"/>
                <w:szCs w:val="28"/>
              </w:rPr>
              <w:t>以</w:t>
            </w: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在利用玻璃固化技术处理放射性废物方面达成合作，</w:t>
            </w:r>
            <w:r w:rsidR="00650475">
              <w:rPr>
                <w:rFonts w:ascii="Arial" w:eastAsia="仿宋_GB2312" w:hAnsi="Arial" w:cs="Arial" w:hint="eastAsia"/>
                <w:sz w:val="28"/>
                <w:szCs w:val="28"/>
              </w:rPr>
              <w:t>该</w:t>
            </w: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业务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主要将</w:t>
            </w:r>
            <w:r w:rsidR="00E95D9E">
              <w:rPr>
                <w:rFonts w:ascii="Arial" w:eastAsia="仿宋_GB2312" w:hAnsi="Arial" w:cs="Arial" w:hint="eastAsia"/>
                <w:sz w:val="28"/>
                <w:szCs w:val="28"/>
              </w:rPr>
              <w:t>在</w:t>
            </w: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法国和英国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开展</w:t>
            </w:r>
            <w:r w:rsidRPr="005E60C8">
              <w:rPr>
                <w:rFonts w:ascii="Arial" w:eastAsia="仿宋_GB2312" w:hAnsi="Arial" w:cs="Arial" w:hint="eastAsia"/>
                <w:sz w:val="28"/>
                <w:szCs w:val="28"/>
              </w:rPr>
              <w:t>。</w:t>
            </w:r>
          </w:p>
        </w:tc>
      </w:tr>
      <w:tr w:rsidR="009E49D9" w:rsidRPr="002F2D60" w14:paraId="22A0D0A6" w14:textId="77777777" w:rsidTr="003C5AF1">
        <w:trPr>
          <w:trHeight w:val="468"/>
        </w:trPr>
        <w:tc>
          <w:tcPr>
            <w:tcW w:w="1418" w:type="dxa"/>
            <w:vMerge w:val="restart"/>
            <w:shd w:val="clear" w:color="auto" w:fill="D9D9D9"/>
          </w:tcPr>
          <w:p w14:paraId="40538A36" w14:textId="77777777" w:rsidR="009E49D9" w:rsidRPr="002F2D60" w:rsidRDefault="009E49D9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参与集中的经营者简介</w:t>
            </w:r>
          </w:p>
        </w:tc>
        <w:tc>
          <w:tcPr>
            <w:tcW w:w="1701" w:type="dxa"/>
          </w:tcPr>
          <w:p w14:paraId="5FEA1900" w14:textId="7343D21E" w:rsidR="009E49D9" w:rsidRPr="009C3677" w:rsidRDefault="009E49D9" w:rsidP="00227057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 w:rsidRPr="009C3677">
              <w:rPr>
                <w:rFonts w:ascii="Arial" w:eastAsia="仿宋_GB2312" w:hAnsi="Arial" w:cs="Arial"/>
                <w:sz w:val="28"/>
                <w:szCs w:val="28"/>
              </w:rPr>
              <w:t>1</w:t>
            </w:r>
            <w:r w:rsidRPr="009C3677">
              <w:rPr>
                <w:rFonts w:ascii="Arial" w:eastAsia="仿宋_GB2312" w:hAnsi="Arial" w:cs="Arial"/>
                <w:sz w:val="28"/>
                <w:szCs w:val="28"/>
              </w:rPr>
              <w:t>、</w:t>
            </w:r>
            <w:r w:rsidR="005342F4">
              <w:rPr>
                <w:rFonts w:ascii="Arial" w:eastAsia="仿宋_GB2312" w:hAnsi="Arial" w:cs="Arial" w:hint="eastAsia"/>
                <w:sz w:val="28"/>
                <w:szCs w:val="28"/>
              </w:rPr>
              <w:t>威立雅</w:t>
            </w:r>
          </w:p>
        </w:tc>
        <w:tc>
          <w:tcPr>
            <w:tcW w:w="5928" w:type="dxa"/>
          </w:tcPr>
          <w:p w14:paraId="37ACEEAD" w14:textId="0A0D5EB4" w:rsidR="007511C0" w:rsidRDefault="004938A5" w:rsidP="004938A5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威立雅成立于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1</w:t>
            </w:r>
            <w:r w:rsidRPr="004938A5">
              <w:rPr>
                <w:rFonts w:ascii="Arial" w:eastAsia="仿宋_GB2312" w:hAnsi="Arial" w:cs="Arial"/>
                <w:sz w:val="28"/>
                <w:szCs w:val="28"/>
              </w:rPr>
              <w:t>995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年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1</w:t>
            </w:r>
            <w:r w:rsidRPr="004938A5">
              <w:rPr>
                <w:rFonts w:ascii="Arial" w:eastAsia="仿宋_GB2312" w:hAnsi="Arial" w:cs="Arial"/>
                <w:sz w:val="28"/>
                <w:szCs w:val="28"/>
              </w:rPr>
              <w:t>2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月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1</w:t>
            </w:r>
            <w:r w:rsidRPr="004938A5">
              <w:rPr>
                <w:rFonts w:ascii="Arial" w:eastAsia="仿宋_GB2312" w:hAnsi="Arial" w:cs="Arial"/>
                <w:sz w:val="28"/>
                <w:szCs w:val="28"/>
              </w:rPr>
              <w:t>8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日，是一家总部位于法国巴黎的公众有限公司。威立雅从事优化资源管理业务</w:t>
            </w:r>
            <w:r w:rsidR="002C6344">
              <w:rPr>
                <w:rFonts w:ascii="Arial" w:eastAsia="仿宋_GB2312" w:hAnsi="Arial" w:cs="Arial" w:hint="eastAsia"/>
                <w:sz w:val="28"/>
                <w:szCs w:val="28"/>
              </w:rPr>
              <w:t>，</w:t>
            </w:r>
            <w:r w:rsidRPr="004938A5">
              <w:rPr>
                <w:rFonts w:ascii="Arial" w:eastAsia="仿宋_GB2312" w:hAnsi="Arial" w:cs="Arial" w:hint="eastAsia"/>
                <w:sz w:val="28"/>
                <w:szCs w:val="28"/>
              </w:rPr>
              <w:t>设计和提供水、废弃物和能源管理解决方案。</w:t>
            </w:r>
          </w:p>
          <w:p w14:paraId="32CDF79B" w14:textId="4F20E15A" w:rsidR="004938A5" w:rsidRPr="00465EEC" w:rsidRDefault="004938A5" w:rsidP="004938A5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sz w:val="28"/>
                <w:szCs w:val="28"/>
              </w:rPr>
              <w:t>请参考以下网站以获得威立雅的更多信息：</w:t>
            </w:r>
            <w:hyperlink r:id="rId11" w:history="1">
              <w:r w:rsidRPr="002F52F0">
                <w:rPr>
                  <w:rStyle w:val="ad"/>
                  <w:rFonts w:ascii="Arial" w:eastAsia="仿宋_GB2312" w:hAnsi="Arial" w:cs="Arial"/>
                  <w:sz w:val="28"/>
                  <w:szCs w:val="28"/>
                </w:rPr>
                <w:t>www.veolia.com</w:t>
              </w:r>
            </w:hyperlink>
            <w:r w:rsidRPr="004938A5">
              <w:rPr>
                <w:rFonts w:ascii="Arial" w:eastAsia="仿宋_GB2312" w:hAnsi="Arial" w:cs="Arial"/>
                <w:sz w:val="28"/>
                <w:szCs w:val="28"/>
              </w:rPr>
              <w:t>.</w:t>
            </w:r>
          </w:p>
        </w:tc>
      </w:tr>
      <w:tr w:rsidR="009E49D9" w:rsidRPr="002F2D60" w14:paraId="25468A1A" w14:textId="77777777" w:rsidTr="003C5AF1">
        <w:trPr>
          <w:trHeight w:val="404"/>
        </w:trPr>
        <w:tc>
          <w:tcPr>
            <w:tcW w:w="1418" w:type="dxa"/>
            <w:vMerge/>
            <w:shd w:val="clear" w:color="auto" w:fill="D9D9D9"/>
          </w:tcPr>
          <w:p w14:paraId="0E7133E5" w14:textId="77777777" w:rsidR="009E49D9" w:rsidRPr="002F2D60" w:rsidRDefault="009E49D9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08586" w14:textId="29AE8272" w:rsidR="009E49D9" w:rsidRPr="009C3677" w:rsidRDefault="009E49D9" w:rsidP="00465EEC">
            <w:pPr>
              <w:spacing w:line="500" w:lineRule="exact"/>
              <w:jc w:val="left"/>
              <w:rPr>
                <w:rFonts w:ascii="Arial" w:eastAsia="仿宋_GB2312" w:hAnsi="Arial" w:cs="Arial"/>
                <w:sz w:val="28"/>
                <w:szCs w:val="28"/>
              </w:rPr>
            </w:pPr>
            <w:r w:rsidRPr="009C3677">
              <w:rPr>
                <w:rFonts w:ascii="Arial" w:eastAsia="仿宋_GB2312" w:hAnsi="Arial" w:cs="Arial"/>
                <w:sz w:val="28"/>
                <w:szCs w:val="28"/>
              </w:rPr>
              <w:t>2</w:t>
            </w:r>
            <w:r w:rsidRPr="009C3677">
              <w:rPr>
                <w:rFonts w:ascii="Arial" w:eastAsia="仿宋_GB2312" w:hAnsi="Arial" w:cs="Arial"/>
                <w:sz w:val="28"/>
                <w:szCs w:val="28"/>
              </w:rPr>
              <w:t>、</w:t>
            </w:r>
            <w:r w:rsidR="00C01820">
              <w:rPr>
                <w:rFonts w:ascii="Arial" w:eastAsia="仿宋_GB2312" w:hAnsi="Arial" w:cs="Arial" w:hint="eastAsia"/>
                <w:sz w:val="28"/>
                <w:szCs w:val="28"/>
              </w:rPr>
              <w:t>法国电力集团</w:t>
            </w:r>
          </w:p>
        </w:tc>
        <w:tc>
          <w:tcPr>
            <w:tcW w:w="5928" w:type="dxa"/>
          </w:tcPr>
          <w:p w14:paraId="75909CDC" w14:textId="7BC562B2" w:rsidR="000E1B28" w:rsidRPr="000E1B28" w:rsidRDefault="000E1B28" w:rsidP="000E1B28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 w:rsidRPr="000E1B28">
              <w:rPr>
                <w:rFonts w:ascii="Arial" w:eastAsia="仿宋_GB2312" w:hAnsi="Arial" w:cs="Arial" w:hint="eastAsia"/>
                <w:sz w:val="28"/>
                <w:szCs w:val="28"/>
              </w:rPr>
              <w:t>法国电力集团是一家法国公用事业公司</w:t>
            </w:r>
            <w:r w:rsidR="00B07ED9">
              <w:rPr>
                <w:rFonts w:ascii="Arial" w:eastAsia="仿宋_GB2312" w:hAnsi="Arial" w:cs="Arial" w:hint="eastAsia"/>
                <w:sz w:val="28"/>
                <w:szCs w:val="28"/>
              </w:rPr>
              <w:t>，</w:t>
            </w:r>
            <w:r w:rsidRPr="000E1B28">
              <w:rPr>
                <w:rFonts w:ascii="Arial" w:eastAsia="仿宋_GB2312" w:hAnsi="Arial" w:cs="Arial" w:hint="eastAsia"/>
                <w:sz w:val="28"/>
                <w:szCs w:val="28"/>
              </w:rPr>
              <w:t>主要活跃于法国和国外的电力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市场</w:t>
            </w:r>
            <w:r w:rsidRPr="000E1B28">
              <w:rPr>
                <w:rFonts w:ascii="Arial" w:eastAsia="仿宋_GB2312" w:hAnsi="Arial" w:cs="Arial" w:hint="eastAsia"/>
                <w:sz w:val="28"/>
                <w:szCs w:val="28"/>
              </w:rPr>
              <w:t>。法国电力集团还活跃于天然气和能源服务市场，以及发电厂和电网的建设、运营和维护，并提供废物回收和能源服务。</w:t>
            </w:r>
          </w:p>
          <w:p w14:paraId="6B6F3B65" w14:textId="47DEA5D9" w:rsidR="009E49D9" w:rsidRPr="007C27BC" w:rsidRDefault="000E1B28" w:rsidP="000E1B28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 w:rsidRPr="000E1B28">
              <w:rPr>
                <w:rFonts w:ascii="Arial" w:eastAsia="仿宋_GB2312" w:hAnsi="Arial" w:cs="Arial" w:hint="eastAsia"/>
                <w:sz w:val="28"/>
                <w:szCs w:val="28"/>
              </w:rPr>
              <w:t>请参考以下网站以获得法国电力集团的更多信息：</w:t>
            </w:r>
            <w:hyperlink r:id="rId12" w:history="1">
              <w:r w:rsidRPr="000E1B28">
                <w:rPr>
                  <w:rStyle w:val="ad"/>
                  <w:rFonts w:ascii="Arial" w:eastAsia="仿宋_GB2312" w:hAnsi="Arial" w:cs="Arial" w:hint="eastAsia"/>
                  <w:sz w:val="28"/>
                  <w:szCs w:val="28"/>
                </w:rPr>
                <w:t>https://www.edf.fr/groupe-edf</w:t>
              </w:r>
            </w:hyperlink>
          </w:p>
        </w:tc>
      </w:tr>
      <w:tr w:rsidR="00227057" w:rsidRPr="002F2D60" w14:paraId="4BF93037" w14:textId="77777777" w:rsidTr="003C5AF1">
        <w:trPr>
          <w:trHeight w:val="279"/>
        </w:trPr>
        <w:tc>
          <w:tcPr>
            <w:tcW w:w="1418" w:type="dxa"/>
            <w:vMerge w:val="restart"/>
            <w:shd w:val="clear" w:color="auto" w:fill="D9D9D9"/>
          </w:tcPr>
          <w:p w14:paraId="1E90DB1C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简易案件理由（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可以单选，也可以多选</w:t>
            </w: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7629" w:type="dxa"/>
            <w:gridSpan w:val="2"/>
          </w:tcPr>
          <w:p w14:paraId="36328A87" w14:textId="676310AA" w:rsidR="00227057" w:rsidRPr="002F2D60" w:rsidRDefault="003C6470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227057"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1、在同一相关市场，所有参与集中的经营者所占市场份额之和小于15%。</w:t>
            </w:r>
          </w:p>
        </w:tc>
      </w:tr>
      <w:tr w:rsidR="00227057" w:rsidRPr="002F2D60" w14:paraId="33A9FBF8" w14:textId="77777777" w:rsidTr="003C5AF1">
        <w:trPr>
          <w:trHeight w:val="330"/>
        </w:trPr>
        <w:tc>
          <w:tcPr>
            <w:tcW w:w="1418" w:type="dxa"/>
            <w:vMerge/>
            <w:shd w:val="clear" w:color="auto" w:fill="D9D9D9"/>
          </w:tcPr>
          <w:p w14:paraId="31BB7949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2"/>
          </w:tcPr>
          <w:p w14:paraId="0028AE0E" w14:textId="007D92B9" w:rsidR="00227057" w:rsidRPr="002F2D60" w:rsidRDefault="00C4378C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227057"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2、存在上下游关系的参与集中的经营者，在上下游市场所占的市场份额均小于25%。</w:t>
            </w:r>
          </w:p>
        </w:tc>
      </w:tr>
      <w:tr w:rsidR="00227057" w:rsidRPr="002F2D60" w14:paraId="671C1DBD" w14:textId="77777777" w:rsidTr="003C5AF1">
        <w:trPr>
          <w:trHeight w:val="285"/>
        </w:trPr>
        <w:tc>
          <w:tcPr>
            <w:tcW w:w="1418" w:type="dxa"/>
            <w:vMerge/>
            <w:shd w:val="clear" w:color="auto" w:fill="D9D9D9"/>
          </w:tcPr>
          <w:p w14:paraId="1B342B5E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2"/>
          </w:tcPr>
          <w:p w14:paraId="3B7087F2" w14:textId="77777777" w:rsidR="00227057" w:rsidRPr="007A4915" w:rsidRDefault="0061344B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227057"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 w:rsidR="00227057" w:rsidRPr="002F2D60" w14:paraId="17D1C191" w14:textId="77777777" w:rsidTr="003C5AF1">
        <w:trPr>
          <w:trHeight w:val="870"/>
        </w:trPr>
        <w:tc>
          <w:tcPr>
            <w:tcW w:w="1418" w:type="dxa"/>
            <w:vMerge/>
            <w:shd w:val="clear" w:color="auto" w:fill="D9D9D9"/>
          </w:tcPr>
          <w:p w14:paraId="3CADB8CC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2"/>
          </w:tcPr>
          <w:p w14:paraId="6F973B7B" w14:textId="532A70F3" w:rsidR="00227057" w:rsidRPr="002F2D60" w:rsidRDefault="003C6470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Wingdings" w:eastAsia="黑体" w:hAnsi="Wingdings" w:cs="Arial"/>
                <w:sz w:val="22"/>
              </w:rPr>
              <w:t></w:t>
            </w:r>
            <w:r w:rsidR="00227057"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4、参与集中的经营者在中国境外设立合营企业，合营企业</w:t>
            </w:r>
            <w:r w:rsidR="00227057"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不在中国境内从事经济活动。</w:t>
            </w:r>
          </w:p>
        </w:tc>
      </w:tr>
      <w:tr w:rsidR="00227057" w:rsidRPr="002F2D60" w14:paraId="5850E647" w14:textId="77777777" w:rsidTr="003C5AF1">
        <w:trPr>
          <w:trHeight w:val="264"/>
        </w:trPr>
        <w:tc>
          <w:tcPr>
            <w:tcW w:w="1418" w:type="dxa"/>
            <w:vMerge/>
            <w:shd w:val="clear" w:color="auto" w:fill="D9D9D9"/>
          </w:tcPr>
          <w:p w14:paraId="64FB9018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2"/>
          </w:tcPr>
          <w:p w14:paraId="21D3E04E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□5、参与集中的经营者收购境外企业股权或资产的，该境外企业不在中国境内从事经济活动。</w:t>
            </w:r>
          </w:p>
        </w:tc>
      </w:tr>
      <w:tr w:rsidR="00227057" w:rsidRPr="002F2D60" w14:paraId="3A4BABF0" w14:textId="77777777" w:rsidTr="003C5AF1">
        <w:trPr>
          <w:trHeight w:val="345"/>
        </w:trPr>
        <w:tc>
          <w:tcPr>
            <w:tcW w:w="1418" w:type="dxa"/>
            <w:vMerge/>
            <w:shd w:val="clear" w:color="auto" w:fill="D9D9D9"/>
          </w:tcPr>
          <w:p w14:paraId="329F18BF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2"/>
          </w:tcPr>
          <w:p w14:paraId="1C8520E5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□6、由两个以上的经营者共同控制的合营企业，通过集中被其中一个或一个以上经营者控制。</w:t>
            </w:r>
          </w:p>
        </w:tc>
      </w:tr>
      <w:tr w:rsidR="00227057" w:rsidRPr="002F2D60" w14:paraId="6B099FB9" w14:textId="77777777" w:rsidTr="003C5AF1">
        <w:tc>
          <w:tcPr>
            <w:tcW w:w="1418" w:type="dxa"/>
            <w:shd w:val="clear" w:color="auto" w:fill="D9D9D9"/>
          </w:tcPr>
          <w:p w14:paraId="040FD941" w14:textId="77777777" w:rsidR="00227057" w:rsidRPr="002F2D60" w:rsidRDefault="00227057" w:rsidP="00227057">
            <w:pPr>
              <w:spacing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7629" w:type="dxa"/>
            <w:gridSpan w:val="2"/>
          </w:tcPr>
          <w:p w14:paraId="141B0132" w14:textId="18A9070E" w:rsidR="00CB772C" w:rsidRPr="0057523C" w:rsidRDefault="00E209CF" w:rsidP="004743CC">
            <w:pPr>
              <w:spacing w:line="500" w:lineRule="exact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sz w:val="28"/>
                <w:szCs w:val="28"/>
              </w:rPr>
              <w:t>略</w:t>
            </w:r>
          </w:p>
        </w:tc>
      </w:tr>
    </w:tbl>
    <w:p w14:paraId="6B415DC3" w14:textId="77777777" w:rsidR="00BB2377" w:rsidRDefault="00BB2377" w:rsidP="00BB2377">
      <w:pPr>
        <w:snapToGrid w:val="0"/>
        <w:spacing w:line="240" w:lineRule="exact"/>
        <w:jc w:val="left"/>
        <w:rPr>
          <w:rFonts w:ascii="楷体_GB2312" w:eastAsia="楷体_GB2312" w:hAnsi="宋体"/>
          <w:sz w:val="24"/>
          <w:szCs w:val="24"/>
        </w:rPr>
      </w:pPr>
    </w:p>
    <w:p w14:paraId="45B6EEDC" w14:textId="77777777" w:rsidR="005F167B" w:rsidRPr="00BB2377" w:rsidRDefault="005F167B" w:rsidP="00BB2377">
      <w:pPr>
        <w:snapToGrid w:val="0"/>
        <w:spacing w:line="240" w:lineRule="exact"/>
        <w:jc w:val="left"/>
        <w:rPr>
          <w:rFonts w:ascii="楷体_GB2312" w:eastAsia="楷体_GB2312" w:hAnsi="宋体"/>
          <w:sz w:val="24"/>
          <w:szCs w:val="24"/>
        </w:rPr>
      </w:pPr>
      <w:r w:rsidRPr="00BB2377">
        <w:rPr>
          <w:rFonts w:ascii="楷体_GB2312" w:eastAsia="楷体_GB2312" w:hAnsi="宋体" w:hint="eastAsia"/>
          <w:sz w:val="24"/>
          <w:szCs w:val="24"/>
        </w:rPr>
        <w:t>注解：</w:t>
      </w:r>
    </w:p>
    <w:p w14:paraId="15F652DA" w14:textId="77777777" w:rsidR="005F167B" w:rsidRPr="00BB2377" w:rsidRDefault="005F167B" w:rsidP="00BB2377">
      <w:pPr>
        <w:snapToGrid w:val="0"/>
        <w:spacing w:line="360" w:lineRule="auto"/>
        <w:ind w:firstLineChars="200" w:firstLine="480"/>
        <w:jc w:val="left"/>
        <w:rPr>
          <w:rFonts w:ascii="楷体_GB2312" w:eastAsia="楷体_GB2312" w:hAnsi="宋体"/>
          <w:sz w:val="24"/>
          <w:szCs w:val="24"/>
        </w:rPr>
      </w:pPr>
      <w:r w:rsidRPr="00BB2377">
        <w:rPr>
          <w:rFonts w:ascii="楷体_GB2312" w:eastAsia="楷体_GB2312" w:hAnsi="宋体" w:hint="eastAsia"/>
          <w:sz w:val="24"/>
          <w:szCs w:val="24"/>
        </w:rPr>
        <w:t>1、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 w14:paraId="25D54260" w14:textId="77777777" w:rsidR="00094095" w:rsidRPr="00BB2377" w:rsidRDefault="005F167B" w:rsidP="00BB2377">
      <w:pPr>
        <w:spacing w:line="360" w:lineRule="auto"/>
        <w:ind w:firstLineChars="200" w:firstLine="480"/>
        <w:rPr>
          <w:rFonts w:ascii="楷体_GB2312" w:eastAsia="楷体_GB2312" w:hAnsi="Times New Roman"/>
          <w:sz w:val="28"/>
          <w:szCs w:val="28"/>
        </w:rPr>
      </w:pPr>
      <w:r w:rsidRPr="00BB2377">
        <w:rPr>
          <w:rFonts w:ascii="楷体_GB2312" w:eastAsia="楷体_GB2312" w:hAnsi="宋体" w:hint="eastAsia"/>
          <w:sz w:val="24"/>
          <w:szCs w:val="24"/>
        </w:rPr>
        <w:t>2、申报方申请简易案件的理由是基于第4项、第5项时，无须在备注中说明相关市场和市场份额。</w:t>
      </w:r>
      <w:r w:rsidRPr="00BB2377">
        <w:rPr>
          <w:rFonts w:ascii="楷体_GB2312" w:eastAsia="楷体_GB2312" w:hAnsi="宋体" w:hint="eastAsia"/>
          <w:sz w:val="24"/>
          <w:szCs w:val="24"/>
        </w:rPr>
        <w:br/>
        <w:t xml:space="preserve">    3、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 w14:paraId="016013CD" w14:textId="77777777" w:rsidR="00F87C1F" w:rsidRDefault="00F87C1F"/>
    <w:sectPr w:rsidR="00F87C1F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5DA4" w14:textId="77777777" w:rsidR="00E07929" w:rsidRDefault="00E07929" w:rsidP="00094095">
      <w:r>
        <w:separator/>
      </w:r>
    </w:p>
  </w:endnote>
  <w:endnote w:type="continuationSeparator" w:id="0">
    <w:p w14:paraId="32352AE4" w14:textId="77777777" w:rsidR="00E07929" w:rsidRDefault="00E07929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788E" w14:textId="77777777" w:rsidR="00E07929" w:rsidRDefault="00E07929" w:rsidP="00094095">
      <w:r>
        <w:separator/>
      </w:r>
    </w:p>
  </w:footnote>
  <w:footnote w:type="continuationSeparator" w:id="0">
    <w:p w14:paraId="728E2254" w14:textId="77777777" w:rsidR="00E07929" w:rsidRDefault="00E07929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A51"/>
    <w:multiLevelType w:val="hybridMultilevel"/>
    <w:tmpl w:val="9C9A29B6"/>
    <w:lvl w:ilvl="0" w:tplc="8CF4D4D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B27CC"/>
    <w:multiLevelType w:val="hybridMultilevel"/>
    <w:tmpl w:val="DE18D9D2"/>
    <w:lvl w:ilvl="0" w:tplc="FAB0E7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34D1E"/>
    <w:multiLevelType w:val="hybridMultilevel"/>
    <w:tmpl w:val="68BC6E90"/>
    <w:lvl w:ilvl="0" w:tplc="CD50201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87F35"/>
    <w:multiLevelType w:val="hybridMultilevel"/>
    <w:tmpl w:val="CC1ABCF8"/>
    <w:lvl w:ilvl="0" w:tplc="CD50201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5"/>
    <w:rsid w:val="00094095"/>
    <w:rsid w:val="000B005A"/>
    <w:rsid w:val="000B267E"/>
    <w:rsid w:val="000C200B"/>
    <w:rsid w:val="000E1B28"/>
    <w:rsid w:val="001B78C8"/>
    <w:rsid w:val="001C2403"/>
    <w:rsid w:val="001F7328"/>
    <w:rsid w:val="00210BF0"/>
    <w:rsid w:val="00215996"/>
    <w:rsid w:val="00227057"/>
    <w:rsid w:val="00240F6E"/>
    <w:rsid w:val="00245776"/>
    <w:rsid w:val="002759DC"/>
    <w:rsid w:val="002C6344"/>
    <w:rsid w:val="002F2D60"/>
    <w:rsid w:val="002F34D6"/>
    <w:rsid w:val="00302A13"/>
    <w:rsid w:val="00307976"/>
    <w:rsid w:val="00323AD8"/>
    <w:rsid w:val="00333A8F"/>
    <w:rsid w:val="00340E68"/>
    <w:rsid w:val="0038733E"/>
    <w:rsid w:val="003C5AF1"/>
    <w:rsid w:val="003C6470"/>
    <w:rsid w:val="003E6809"/>
    <w:rsid w:val="003F0DBA"/>
    <w:rsid w:val="00450D75"/>
    <w:rsid w:val="00462174"/>
    <w:rsid w:val="00465EEC"/>
    <w:rsid w:val="004743CC"/>
    <w:rsid w:val="004816BF"/>
    <w:rsid w:val="004938A5"/>
    <w:rsid w:val="004B384A"/>
    <w:rsid w:val="004C36CC"/>
    <w:rsid w:val="00507AAE"/>
    <w:rsid w:val="0052411D"/>
    <w:rsid w:val="005342F4"/>
    <w:rsid w:val="0057523C"/>
    <w:rsid w:val="005A1099"/>
    <w:rsid w:val="005E60C8"/>
    <w:rsid w:val="005F167B"/>
    <w:rsid w:val="005F6B8D"/>
    <w:rsid w:val="0060180C"/>
    <w:rsid w:val="00601B9F"/>
    <w:rsid w:val="0061344B"/>
    <w:rsid w:val="00614590"/>
    <w:rsid w:val="00635A80"/>
    <w:rsid w:val="00650475"/>
    <w:rsid w:val="006E55C1"/>
    <w:rsid w:val="006F3AA5"/>
    <w:rsid w:val="0074128A"/>
    <w:rsid w:val="007511C0"/>
    <w:rsid w:val="007A4915"/>
    <w:rsid w:val="007B426A"/>
    <w:rsid w:val="007C27BC"/>
    <w:rsid w:val="007C47D1"/>
    <w:rsid w:val="007E41B9"/>
    <w:rsid w:val="00800482"/>
    <w:rsid w:val="00805F70"/>
    <w:rsid w:val="008068E7"/>
    <w:rsid w:val="00817A87"/>
    <w:rsid w:val="008347A3"/>
    <w:rsid w:val="00846E09"/>
    <w:rsid w:val="008518EC"/>
    <w:rsid w:val="008F3EED"/>
    <w:rsid w:val="00913002"/>
    <w:rsid w:val="00975F70"/>
    <w:rsid w:val="00983E40"/>
    <w:rsid w:val="009C3677"/>
    <w:rsid w:val="009D326F"/>
    <w:rsid w:val="009E49D9"/>
    <w:rsid w:val="009F5E92"/>
    <w:rsid w:val="00A17D36"/>
    <w:rsid w:val="00A20169"/>
    <w:rsid w:val="00A3136E"/>
    <w:rsid w:val="00A34471"/>
    <w:rsid w:val="00A91C5F"/>
    <w:rsid w:val="00AB642F"/>
    <w:rsid w:val="00B07ED9"/>
    <w:rsid w:val="00BA0750"/>
    <w:rsid w:val="00BB2377"/>
    <w:rsid w:val="00BD45FD"/>
    <w:rsid w:val="00C01820"/>
    <w:rsid w:val="00C2060B"/>
    <w:rsid w:val="00C42457"/>
    <w:rsid w:val="00C4378C"/>
    <w:rsid w:val="00C6107B"/>
    <w:rsid w:val="00C65E6D"/>
    <w:rsid w:val="00C9068E"/>
    <w:rsid w:val="00C90D9F"/>
    <w:rsid w:val="00CA72DE"/>
    <w:rsid w:val="00CB152D"/>
    <w:rsid w:val="00CB772C"/>
    <w:rsid w:val="00D02E8C"/>
    <w:rsid w:val="00D135E8"/>
    <w:rsid w:val="00D21777"/>
    <w:rsid w:val="00D42A7E"/>
    <w:rsid w:val="00D52DCC"/>
    <w:rsid w:val="00D573BA"/>
    <w:rsid w:val="00D67B0C"/>
    <w:rsid w:val="00D8047D"/>
    <w:rsid w:val="00D847DB"/>
    <w:rsid w:val="00DB3EC3"/>
    <w:rsid w:val="00DD37EC"/>
    <w:rsid w:val="00DE17FA"/>
    <w:rsid w:val="00DE55E8"/>
    <w:rsid w:val="00DE7AA1"/>
    <w:rsid w:val="00E07929"/>
    <w:rsid w:val="00E209CF"/>
    <w:rsid w:val="00E41F92"/>
    <w:rsid w:val="00E51478"/>
    <w:rsid w:val="00E65205"/>
    <w:rsid w:val="00E67CB7"/>
    <w:rsid w:val="00E95D9E"/>
    <w:rsid w:val="00E96735"/>
    <w:rsid w:val="00ED21B1"/>
    <w:rsid w:val="00ED4DB8"/>
    <w:rsid w:val="00EE2895"/>
    <w:rsid w:val="00EF1727"/>
    <w:rsid w:val="00F10A07"/>
    <w:rsid w:val="00F31B7C"/>
    <w:rsid w:val="00F87C1F"/>
    <w:rsid w:val="00FA4590"/>
    <w:rsid w:val="00FA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2D8B8"/>
  <w15:chartTrackingRefBased/>
  <w15:docId w15:val="{9BD70B41-E496-4A8C-BB5C-B602872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573BA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D573BA"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E1B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f.fr/groupe-e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oli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8DD8AAF619FA647A3F1034FAD2AAE94" ma:contentTypeVersion="0" ma:contentTypeDescription="新建文档。" ma:contentTypeScope="" ma:versionID="df8710985ddef5613c7ca92aa4eeaf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56084-F117-4C7C-902C-190B59A3A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FEFD1-BD56-49BA-AE6C-3F606E810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11BEE-5BC5-4751-80AC-1D0C78AF8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950E7-437E-4EA0-ADEE-A1D2E9BE1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</cp:lastModifiedBy>
  <cp:revision>3</cp:revision>
  <cp:lastPrinted>2014-10-08T02:48:00Z</cp:lastPrinted>
  <dcterms:created xsi:type="dcterms:W3CDTF">2021-10-08T09:42:00Z</dcterms:created>
  <dcterms:modified xsi:type="dcterms:W3CDTF">2021-10-08T09:49:00Z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0x01010028DD8AAF619FA647A3F1034FAD2AAE94</vt:lpwstr>
  </property>
</Properties>
</file>