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440" w:lineRule="exact"/>
        <w:jc w:val="center"/>
        <w:rPr>
          <w:rFonts w:ascii="Times New Roman" w:eastAsia="华文楷体" w:hAnsi="Times New Roman"/>
          <w:sz w:val="28"/>
          <w:szCs w:val="28"/>
        </w:rPr>
      </w:pPr>
      <w:r>
        <w:rPr>
          <w:rFonts w:ascii="Times New Roman" w:eastAsia="华文楷体" w:hAnsi="Times New Roman"/>
          <w:b/>
          <w:bCs/>
          <w:sz w:val="30"/>
          <w:szCs w:val="30"/>
        </w:rPr>
        <w:t>经营者集中简易案件公示表</w:t>
      </w:r>
    </w:p>
    <w:p>
      <w:pPr>
        <w:spacing w:line="440" w:lineRule="exact"/>
        <w:ind w:firstLineChars="302" w:firstLine="846"/>
        <w:rPr>
          <w:rFonts w:ascii="Times New Roman" w:eastAsia="华文楷体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华文楷体" w:hAnsi="Times New Roman"/>
                <w:b/>
                <w:bCs/>
              </w:rPr>
            </w:pPr>
            <w:r>
              <w:rPr>
                <w:rFonts w:ascii="Times New Roman" w:eastAsia="华文楷体" w:hAnsi="Times New Roman"/>
                <w:b/>
                <w:bCs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 w:hint="eastAsia"/>
              </w:rPr>
              <w:t>美国华平投资集团和安佰深合伙人有限责任合伙收购</w:t>
            </w:r>
            <w:r>
              <w:rPr>
                <w:rFonts w:ascii="Times New Roman" w:eastAsia="华文楷体" w:hAnsi="Times New Roman" w:hint="eastAsia"/>
              </w:rPr>
              <w:t>T-Mobile</w:t>
            </w:r>
            <w:r>
              <w:rPr>
                <w:rFonts w:ascii="Times New Roman" w:eastAsia="华文楷体" w:hAnsi="Times New Roman" w:hint="eastAsia"/>
              </w:rPr>
              <w:t>荷兰控股公司股权案</w:t>
            </w:r>
          </w:p>
        </w:tc>
      </w:tr>
      <w:tr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华文楷体" w:hAnsi="Times New Roman"/>
                <w:b/>
                <w:bCs/>
              </w:rPr>
            </w:pPr>
            <w:r>
              <w:rPr>
                <w:rFonts w:ascii="Times New Roman" w:eastAsia="华文楷体" w:hAnsi="Times New Roman"/>
                <w:b/>
                <w:bCs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  <w:b/>
                <w:bCs/>
              </w:rPr>
              <w:t>（限</w:t>
            </w:r>
            <w:r>
              <w:rPr>
                <w:rFonts w:ascii="Times New Roman" w:eastAsia="华文楷体" w:hAnsi="Times New Roman"/>
                <w:b/>
                <w:bCs/>
              </w:rPr>
              <w:t>200</w:t>
            </w:r>
            <w:r>
              <w:rPr>
                <w:rFonts w:ascii="Times New Roman" w:eastAsia="华文楷体" w:hAnsi="Times New Roman"/>
                <w:b/>
                <w:bCs/>
              </w:rPr>
              <w:t>字内）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</w:rPr>
              <w:t>拟议交易涉及美国华平投资集团（</w:t>
            </w:r>
            <w:r>
              <w:rPr>
                <w:rFonts w:ascii="Times New Roman" w:eastAsia="华文楷体" w:hAnsi="Times New Roman" w:hint="eastAsia"/>
              </w:rPr>
              <w:t>“</w:t>
            </w:r>
            <w:r>
              <w:rPr>
                <w:rFonts w:ascii="Times New Roman" w:eastAsia="华文楷体" w:hAnsi="Times New Roman"/>
                <w:b/>
                <w:bCs/>
              </w:rPr>
              <w:t>华平</w:t>
            </w:r>
            <w:r>
              <w:rPr>
                <w:rFonts w:ascii="Times New Roman" w:eastAsia="华文楷体" w:hAnsi="Times New Roman" w:hint="eastAsia"/>
                <w:b/>
                <w:bCs/>
              </w:rPr>
              <w:t>投资</w:t>
            </w:r>
            <w:r>
              <w:rPr>
                <w:rFonts w:ascii="Times New Roman" w:eastAsia="华文楷体" w:hAnsi="Times New Roman" w:hint="eastAsia"/>
              </w:rPr>
              <w:t>”</w:t>
            </w:r>
            <w:r>
              <w:rPr>
                <w:rFonts w:ascii="Times New Roman" w:eastAsia="华文楷体" w:hAnsi="Times New Roman"/>
              </w:rPr>
              <w:t>）和安佰深合伙人有限责任合伙（</w:t>
            </w:r>
            <w:r>
              <w:rPr>
                <w:rFonts w:ascii="Times New Roman" w:eastAsia="华文楷体" w:hAnsi="Times New Roman" w:hint="eastAsia"/>
              </w:rPr>
              <w:t>“</w:t>
            </w:r>
            <w:r>
              <w:rPr>
                <w:rFonts w:ascii="Times New Roman" w:eastAsia="华文楷体" w:hAnsi="Times New Roman"/>
                <w:b/>
                <w:bCs/>
              </w:rPr>
              <w:t>安佰深</w:t>
            </w:r>
            <w:r>
              <w:rPr>
                <w:rFonts w:ascii="Times New Roman" w:eastAsia="华文楷体" w:hAnsi="Times New Roman" w:hint="eastAsia"/>
              </w:rPr>
              <w:t>”</w:t>
            </w:r>
            <w:r>
              <w:rPr>
                <w:rFonts w:ascii="Times New Roman" w:eastAsia="华文楷体" w:hAnsi="Times New Roman"/>
              </w:rPr>
              <w:t>）</w:t>
            </w:r>
            <w:r>
              <w:rPr>
                <w:rFonts w:ascii="Times New Roman" w:eastAsia="华文楷体" w:hAnsi="Times New Roman" w:hint="eastAsia"/>
              </w:rPr>
              <w:t>各自</w:t>
            </w:r>
            <w:r>
              <w:rPr>
                <w:rFonts w:ascii="Times New Roman" w:eastAsia="华文楷体" w:hAnsi="Times New Roman"/>
              </w:rPr>
              <w:t>管理并提供咨询的投资基金收购</w:t>
            </w:r>
            <w:r>
              <w:rPr>
                <w:rFonts w:ascii="Times New Roman" w:eastAsia="华文楷体" w:hAnsi="Times New Roman" w:hint="eastAsia"/>
              </w:rPr>
              <w:t>T-Mobile</w:t>
            </w:r>
            <w:r>
              <w:rPr>
                <w:rFonts w:ascii="Times New Roman" w:eastAsia="华文楷体" w:hAnsi="Times New Roman" w:hint="eastAsia"/>
              </w:rPr>
              <w:t>荷兰控股公司（“</w:t>
            </w:r>
            <w:r>
              <w:rPr>
                <w:rFonts w:ascii="Times New Roman" w:eastAsia="华文楷体" w:hAnsi="Times New Roman" w:hint="eastAsia"/>
                <w:b/>
                <w:bCs/>
              </w:rPr>
              <w:t>目标公司</w:t>
            </w:r>
            <w:r>
              <w:rPr>
                <w:rFonts w:ascii="Times New Roman" w:eastAsia="华文楷体" w:hAnsi="Times New Roman" w:hint="eastAsia"/>
              </w:rPr>
              <w:t>”）</w:t>
            </w:r>
            <w:r>
              <w:rPr>
                <w:rFonts w:ascii="Times New Roman" w:eastAsia="华文楷体" w:hAnsi="Times New Roman"/>
              </w:rPr>
              <w:t>全部已发行股本事宜。目标公司在荷兰提供电信服务。</w:t>
            </w:r>
          </w:p>
        </w:tc>
      </w:tr>
      <w:tr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华文楷体" w:hAnsi="Times New Roman"/>
                <w:b/>
                <w:bCs/>
              </w:rPr>
            </w:pPr>
            <w:r>
              <w:rPr>
                <w:rFonts w:ascii="Times New Roman" w:eastAsia="华文楷体" w:hAnsi="Times New Roman"/>
                <w:b/>
                <w:bCs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  <w:b/>
                <w:bCs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</w:rPr>
              <w:t>华平</w:t>
            </w:r>
            <w:r>
              <w:rPr>
                <w:rFonts w:ascii="Times New Roman" w:eastAsia="华文楷体" w:hAnsi="Times New Roman" w:hint="eastAsia"/>
              </w:rPr>
              <w:t>投资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</w:rPr>
              <w:t>华平</w:t>
            </w:r>
            <w:r>
              <w:rPr>
                <w:rFonts w:ascii="Times New Roman" w:eastAsia="华文楷体" w:hAnsi="Times New Roman" w:hint="eastAsia"/>
              </w:rPr>
              <w:t>投资</w:t>
            </w:r>
            <w:r>
              <w:rPr>
                <w:rFonts w:ascii="Times New Roman" w:eastAsia="华文楷体" w:hAnsi="Times New Roman"/>
              </w:rPr>
              <w:t>是一家在美国注册的私</w:t>
            </w:r>
            <w:proofErr w:type="gramStart"/>
            <w:r>
              <w:rPr>
                <w:rFonts w:ascii="Times New Roman" w:eastAsia="华文楷体" w:hAnsi="Times New Roman"/>
              </w:rPr>
              <w:t>募股权</w:t>
            </w:r>
            <w:r>
              <w:rPr>
                <w:rFonts w:ascii="Times New Roman" w:eastAsia="华文楷体" w:hAnsi="Times New Roman" w:hint="eastAsia"/>
              </w:rPr>
              <w:t>投资</w:t>
            </w:r>
            <w:proofErr w:type="gramEnd"/>
            <w:r>
              <w:rPr>
                <w:rFonts w:ascii="Times New Roman" w:eastAsia="华文楷体" w:hAnsi="Times New Roman"/>
              </w:rPr>
              <w:t>公司，私</w:t>
            </w:r>
            <w:proofErr w:type="gramStart"/>
            <w:r>
              <w:rPr>
                <w:rFonts w:ascii="Times New Roman" w:eastAsia="华文楷体" w:hAnsi="Times New Roman"/>
              </w:rPr>
              <w:t>募股权投资</w:t>
            </w:r>
            <w:proofErr w:type="gramEnd"/>
            <w:r>
              <w:rPr>
                <w:rFonts w:ascii="Times New Roman" w:eastAsia="华文楷体" w:hAnsi="Times New Roman"/>
              </w:rPr>
              <w:t>是华平</w:t>
            </w:r>
            <w:r>
              <w:rPr>
                <w:rFonts w:ascii="Times New Roman" w:eastAsia="华文楷体" w:hAnsi="Times New Roman" w:hint="eastAsia"/>
              </w:rPr>
              <w:t>投资</w:t>
            </w:r>
            <w:r>
              <w:rPr>
                <w:rFonts w:ascii="Times New Roman" w:eastAsia="华文楷体" w:hAnsi="Times New Roman"/>
              </w:rPr>
              <w:t>在全球范围内开展的唯一业务。</w:t>
            </w:r>
          </w:p>
        </w:tc>
      </w:tr>
      <w:tr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华文楷体" w:hAnsi="Times New Roman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</w:rPr>
              <w:t>安佰深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</w:rPr>
              <w:t>安佰深是一家英国有限合伙企业，同时</w:t>
            </w:r>
            <w:r>
              <w:rPr>
                <w:rFonts w:ascii="Times New Roman" w:eastAsia="华文楷体" w:hAnsi="Times New Roman" w:hint="eastAsia"/>
              </w:rPr>
              <w:t>也是旗下为投资于各个行业的私</w:t>
            </w:r>
            <w:proofErr w:type="gramStart"/>
            <w:r>
              <w:rPr>
                <w:rFonts w:ascii="Times New Roman" w:eastAsia="华文楷体" w:hAnsi="Times New Roman" w:hint="eastAsia"/>
              </w:rPr>
              <w:t>募股权基金</w:t>
            </w:r>
            <w:proofErr w:type="gramEnd"/>
            <w:r>
              <w:rPr>
                <w:rFonts w:ascii="Times New Roman" w:eastAsia="华文楷体" w:hAnsi="Times New Roman" w:hint="eastAsia"/>
              </w:rPr>
              <w:t>提供投资咨询服务的多个实体的母公司</w:t>
            </w:r>
            <w:r>
              <w:rPr>
                <w:rFonts w:ascii="Times New Roman" w:eastAsia="华文楷体" w:hAnsi="Times New Roman"/>
              </w:rPr>
              <w:t>。</w:t>
            </w:r>
          </w:p>
        </w:tc>
      </w:tr>
      <w:tr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华文楷体" w:hAnsi="Times New Roman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</w:rPr>
              <w:t>目标公司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</w:rPr>
              <w:t>目标公司总部位于荷兰海牙，在荷兰</w:t>
            </w:r>
            <w:r>
              <w:rPr>
                <w:rFonts w:ascii="Times New Roman" w:eastAsia="华文楷体" w:hAnsi="Times New Roman" w:hint="eastAsia"/>
              </w:rPr>
              <w:t>境内</w:t>
            </w:r>
            <w:r>
              <w:rPr>
                <w:rFonts w:ascii="Times New Roman" w:eastAsia="华文楷体" w:hAnsi="Times New Roman"/>
              </w:rPr>
              <w:t>提供移动和固定电信服务。</w:t>
            </w:r>
          </w:p>
        </w:tc>
      </w:tr>
      <w:tr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华文楷体" w:hAnsi="Times New Roman"/>
                <w:b/>
                <w:bCs/>
              </w:rPr>
            </w:pPr>
            <w:r>
              <w:rPr>
                <w:rFonts w:ascii="Times New Roman" w:eastAsia="华文楷体" w:hAnsi="Times New Roman"/>
                <w:b/>
                <w:bCs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</w:rPr>
              <w:t>□1.</w:t>
            </w:r>
            <w:r>
              <w:rPr>
                <w:rFonts w:ascii="Times New Roman" w:eastAsia="华文楷体" w:hAnsi="Times New Roman"/>
              </w:rPr>
              <w:t>在同一相关市场，所有参与集中的经营者所占市场份额之和小于</w:t>
            </w:r>
            <w:r>
              <w:rPr>
                <w:rFonts w:ascii="Times New Roman" w:eastAsia="华文楷体" w:hAnsi="Times New Roman"/>
              </w:rPr>
              <w:t>15%</w:t>
            </w:r>
            <w:r>
              <w:rPr>
                <w:rFonts w:ascii="Times New Roman" w:eastAsia="华文楷体" w:hAnsi="Times New Roman"/>
              </w:rPr>
              <w:t>。</w:t>
            </w:r>
          </w:p>
        </w:tc>
      </w:tr>
      <w:tr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华文楷体" w:hAnsi="Times New Roman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</w:rPr>
              <w:t>□2.</w:t>
            </w:r>
            <w:r>
              <w:rPr>
                <w:rFonts w:ascii="Times New Roman" w:eastAsia="华文楷体" w:hAnsi="Times New Roman"/>
              </w:rPr>
              <w:t>存在上下游关系的参与集中的经营者，在上下游市场所占的市场份额均小于</w:t>
            </w:r>
            <w:r>
              <w:rPr>
                <w:rFonts w:ascii="Times New Roman" w:eastAsia="华文楷体" w:hAnsi="Times New Roman"/>
              </w:rPr>
              <w:t>25%</w:t>
            </w:r>
            <w:r>
              <w:rPr>
                <w:rFonts w:ascii="Times New Roman" w:eastAsia="华文楷体" w:hAnsi="Times New Roman"/>
              </w:rPr>
              <w:t>。</w:t>
            </w:r>
          </w:p>
        </w:tc>
      </w:tr>
      <w:tr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华文楷体" w:hAnsi="Times New Roman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</w:rPr>
              <w:t>□3.</w:t>
            </w:r>
            <w:r>
              <w:rPr>
                <w:rFonts w:ascii="Times New Roman" w:eastAsia="华文楷体" w:hAnsi="Times New Roman"/>
              </w:rPr>
              <w:t>不在同一相关市场、也不存在上下游关系的参与集中的经营者，在与交易有关的每个市场所占的份额均小于</w:t>
            </w:r>
            <w:r>
              <w:rPr>
                <w:rFonts w:ascii="Times New Roman" w:eastAsia="华文楷体" w:hAnsi="Times New Roman"/>
              </w:rPr>
              <w:t>25%</w:t>
            </w:r>
            <w:r>
              <w:rPr>
                <w:rFonts w:ascii="Times New Roman" w:eastAsia="华文楷体" w:hAnsi="Times New Roman"/>
              </w:rPr>
              <w:t>。</w:t>
            </w:r>
          </w:p>
        </w:tc>
      </w:tr>
      <w:tr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华文楷体" w:hAnsi="Times New Roman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</w:rPr>
              <w:t>□4.</w:t>
            </w:r>
            <w:r>
              <w:rPr>
                <w:rFonts w:ascii="Times New Roman" w:eastAsia="华文楷体" w:hAnsi="Times New Roman"/>
              </w:rPr>
              <w:t>参与集中的经营者在中国境外设立合营企业，合营企业不在中国境内从事经济活动。</w:t>
            </w:r>
          </w:p>
        </w:tc>
      </w:tr>
      <w:tr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华文楷体" w:hAnsi="Times New Roman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eastAsia="华文楷体" w:hAnsi="Times New Roman"/>
                <w:b/>
                <w:bCs/>
              </w:rPr>
            </w:pPr>
            <w:r>
              <w:rPr>
                <w:rFonts w:ascii="Times New Roman" w:eastAsia="华文楷体" w:hAnsi="Times New Roman"/>
                <w:b/>
                <w:bCs/>
              </w:rPr>
              <w:sym w:font="Wingdings" w:char="00FE"/>
            </w:r>
            <w:r>
              <w:rPr>
                <w:rFonts w:ascii="Times New Roman" w:eastAsia="华文楷体" w:hAnsi="Times New Roman"/>
                <w:b/>
                <w:bCs/>
              </w:rPr>
              <w:t>5.</w:t>
            </w:r>
            <w:r>
              <w:rPr>
                <w:rFonts w:ascii="Times New Roman" w:eastAsia="华文楷体" w:hAnsi="Times New Roman"/>
                <w:b/>
                <w:bCs/>
              </w:rPr>
              <w:t>参与集中的经营者收购境外企业股权或资产的，该境外企业不在中国境内从事经济活动。</w:t>
            </w:r>
          </w:p>
        </w:tc>
      </w:tr>
      <w:tr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华文楷体" w:hAnsi="Times New Roman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/>
              </w:rPr>
              <w:t>□6.</w:t>
            </w:r>
            <w:r>
              <w:rPr>
                <w:rFonts w:ascii="Times New Roman" w:eastAsia="华文楷体" w:hAnsi="Times New Roman"/>
              </w:rPr>
              <w:t>由两个以上的经营者共同控制的合营企业，通过集中被其中一个或一个以上经营者控制。</w:t>
            </w:r>
          </w:p>
        </w:tc>
      </w:tr>
      <w:t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华文楷体" w:hAnsi="Times New Roman"/>
                <w:b/>
                <w:bCs/>
              </w:rPr>
            </w:pPr>
            <w:r>
              <w:rPr>
                <w:rFonts w:ascii="Times New Roman" w:eastAsia="华文楷体" w:hAnsi="Times New Roman"/>
                <w:b/>
                <w:bCs/>
              </w:rPr>
              <w:t>备注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ind w:left="33"/>
              <w:rPr>
                <w:rFonts w:ascii="Times New Roman" w:eastAsia="华文楷体" w:hAnsi="Times New Roman"/>
              </w:rPr>
            </w:pPr>
            <w:r>
              <w:rPr>
                <w:rFonts w:ascii="Times New Roman" w:eastAsia="华文楷体" w:hAnsi="Times New Roman" w:hint="eastAsia"/>
              </w:rPr>
              <w:t>申报方申请简易案件的理由是基于第</w:t>
            </w:r>
            <w:r>
              <w:rPr>
                <w:rFonts w:ascii="Times New Roman" w:eastAsia="华文楷体" w:hAnsi="Times New Roman" w:hint="eastAsia"/>
              </w:rPr>
              <w:t>5</w:t>
            </w:r>
            <w:r>
              <w:rPr>
                <w:rFonts w:ascii="Times New Roman" w:eastAsia="华文楷体" w:hAnsi="Times New Roman" w:hint="eastAsia"/>
              </w:rPr>
              <w:t>项，无须在备注中说明相关市场和市场份额</w:t>
            </w:r>
            <w:r>
              <w:rPr>
                <w:rFonts w:ascii="Times New Roman" w:eastAsia="华文楷体" w:hAnsi="Times New Roman" w:hint="eastAsia"/>
              </w:rPr>
              <w:t>。</w:t>
            </w:r>
          </w:p>
        </w:tc>
      </w:tr>
    </w:tbl>
    <w:p>
      <w:pPr>
        <w:rPr>
          <w:rFonts w:ascii="Times New Roman" w:eastAsia="华文楷体" w:hAnsi="Times New Roman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3F1"/>
    <w:multiLevelType w:val="multilevel"/>
    <w:tmpl w:val="1FDC63F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0sLQwNbY0tTA1tzBW0lEKTi0uzszPAykwrAUAj1G/FywAAAA="/>
  </w:docVar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CA0654-C61C-4118-BF29-F9E47F5B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LF</cp:lastModifiedBy>
  <cp:revision>7</cp:revision>
  <dcterms:created xsi:type="dcterms:W3CDTF">2021-09-17T02:28:00Z</dcterms:created>
  <dcterms:modified xsi:type="dcterms:W3CDTF">2021-09-27T04:18:00Z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