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4EB00" w14:textId="1EE81168" w:rsidR="00143EBB" w:rsidRPr="006024A4" w:rsidRDefault="00800C3E" w:rsidP="00773E9E">
      <w:pPr>
        <w:spacing w:line="440" w:lineRule="exact"/>
        <w:jc w:val="center"/>
        <w:rPr>
          <w:rFonts w:ascii="Times New Roman" w:eastAsia="仿宋_GB2312" w:hAnsi="Times New Roman"/>
          <w:b/>
          <w:sz w:val="24"/>
          <w:szCs w:val="24"/>
        </w:rPr>
      </w:pPr>
      <w:r w:rsidRPr="006024A4">
        <w:rPr>
          <w:rFonts w:ascii="Times New Roman" w:eastAsia="仿宋_GB2312" w:hAnsi="Times New Roman"/>
          <w:b/>
          <w:sz w:val="24"/>
          <w:szCs w:val="24"/>
        </w:rPr>
        <w:t>经营者集中简易案件公示表</w:t>
      </w:r>
      <w:bookmarkStart w:id="0" w:name="_GoBack"/>
      <w:bookmarkEnd w:id="0"/>
    </w:p>
    <w:p w14:paraId="16E8413C" w14:textId="593E2860" w:rsidR="00143EBB" w:rsidRPr="006024A4" w:rsidRDefault="00143EBB">
      <w:pPr>
        <w:spacing w:line="440" w:lineRule="exact"/>
        <w:rPr>
          <w:rFonts w:ascii="Times New Roman" w:eastAsia="仿宋_GB2312" w:hAnsi="Times New Roman"/>
          <w:sz w:val="24"/>
          <w:szCs w:val="24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E817BF" w:rsidRPr="002F0A06" w14:paraId="13B66683" w14:textId="77777777" w:rsidTr="00FD4E6D">
        <w:trPr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671B534A" w14:textId="77777777" w:rsidR="00143EBB" w:rsidRPr="002F0A06" w:rsidRDefault="00800C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 w14:paraId="1E573C70" w14:textId="1C3E0948" w:rsidR="00143EBB" w:rsidRPr="002F0A06" w:rsidRDefault="00EE567C" w:rsidP="00E817BF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小红</w:t>
            </w: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书科技</w:t>
            </w:r>
            <w:proofErr w:type="gramEnd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有限公司收购长沙本味鲜</w:t>
            </w: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物品牌</w:t>
            </w:r>
            <w:proofErr w:type="gramEnd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管理有限公司股权案</w:t>
            </w:r>
            <w:r w:rsidR="00CA7A84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="00CA7A84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="00CA7A84"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本次交易</w:t>
            </w:r>
            <w:r w:rsidR="00CA7A84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="00CA7A84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</w:tr>
      <w:tr w:rsidR="00E817BF" w:rsidRPr="002F0A06" w14:paraId="645AAB33" w14:textId="77777777" w:rsidTr="00FD4E6D">
        <w:trPr>
          <w:trHeight w:val="993"/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5787708D" w14:textId="77777777" w:rsidR="00143EBB" w:rsidRPr="002F0A06" w:rsidRDefault="00800C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交易概况</w:t>
            </w:r>
          </w:p>
          <w:p w14:paraId="01F5BD93" w14:textId="77777777" w:rsidR="00143EBB" w:rsidRPr="002F0A06" w:rsidRDefault="00800C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（限</w:t>
            </w: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200</w:t>
            </w: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字内）</w:t>
            </w:r>
          </w:p>
        </w:tc>
        <w:tc>
          <w:tcPr>
            <w:tcW w:w="6949" w:type="dxa"/>
            <w:gridSpan w:val="2"/>
          </w:tcPr>
          <w:p w14:paraId="51DC04DC" w14:textId="77777777" w:rsidR="00336808" w:rsidRPr="002F0A06" w:rsidRDefault="008E65E2" w:rsidP="00847180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本次交易中，小红</w:t>
            </w: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书科技</w:t>
            </w:r>
            <w:proofErr w:type="gramEnd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有限公司（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小红书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）拟通过增资方式收购长沙本味鲜</w:t>
            </w: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物品牌</w:t>
            </w:r>
            <w:proofErr w:type="gramEnd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管理有限公司（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本味鲜物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10%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的股权。</w:t>
            </w:r>
          </w:p>
          <w:p w14:paraId="65FF4AD5" w14:textId="77777777" w:rsidR="00336808" w:rsidRPr="002F0A06" w:rsidRDefault="00336808" w:rsidP="00847180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A6F8C00" w14:textId="0448B5EE" w:rsidR="00CA7A84" w:rsidRPr="002F0A06" w:rsidRDefault="00336808" w:rsidP="001355FB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本次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交易前，</w:t>
            </w: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长沙鲜物企业管理</w:t>
            </w:r>
            <w:proofErr w:type="gramEnd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合伙企业（有限合伙）（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="008E65E2"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长沙鲜物管理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持有本味鲜物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80%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的股权，</w:t>
            </w:r>
            <w:r w:rsidR="00BF5941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</w:t>
            </w:r>
            <w:proofErr w:type="gramStart"/>
            <w:r w:rsidR="00BF5941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尔艾夫</w:t>
            </w:r>
            <w:proofErr w:type="gramEnd"/>
            <w:r w:rsidR="00BF5941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商贸有限公司（</w:t>
            </w:r>
            <w:r w:rsidR="00BF5941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="008E65E2"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上海尔艾夫</w:t>
            </w:r>
            <w:r w:rsidR="00BF5941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="00BF5941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="00C8229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四川波点投资管理合伙企业（有限合伙）（</w:t>
            </w:r>
            <w:r w:rsidR="00C8229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="008E65E2"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四川波点</w:t>
            </w:r>
            <w:r w:rsidR="00C8229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="00C8229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="00C8229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北京扶舆咨询有限公司（</w:t>
            </w:r>
            <w:r w:rsidR="00C8229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="008E65E2"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北京扶舆</w:t>
            </w:r>
            <w:r w:rsidR="00C8229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="00C8229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分别持有本味鲜物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12.5%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5%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2.5%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的股权，</w:t>
            </w:r>
            <w:proofErr w:type="gramStart"/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长沙鲜物管理</w:t>
            </w:r>
            <w:proofErr w:type="gramEnd"/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单独控制本味鲜物。</w:t>
            </w:r>
            <w:r w:rsidR="00CC1B1F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本次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交易完成后，长沙鲜物管理将持有本味鲜物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72%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的股权，小红书将持有本味鲜物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10%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的股权，上海尔艾夫、四川波点、北京扶舆将持有本味鲜物其余合计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18%</w:t>
            </w:r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的股权。本味鲜物将由</w:t>
            </w:r>
            <w:proofErr w:type="gramStart"/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长沙鲜物管理</w:t>
            </w:r>
            <w:proofErr w:type="gramEnd"/>
            <w:r w:rsidR="008E65E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、小红书共同控制。</w:t>
            </w:r>
          </w:p>
        </w:tc>
      </w:tr>
      <w:tr w:rsidR="00091EAA" w:rsidRPr="002F0A06" w14:paraId="4B4C85F6" w14:textId="77777777" w:rsidTr="00FD4E6D">
        <w:trPr>
          <w:trHeight w:val="468"/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05669D25" w14:textId="77777777" w:rsidR="00091EAA" w:rsidRPr="002F0A06" w:rsidRDefault="00091EAA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参与集中的</w:t>
            </w:r>
          </w:p>
          <w:p w14:paraId="4CA75135" w14:textId="77777777" w:rsidR="00091EAA" w:rsidRPr="002F0A06" w:rsidRDefault="00091EAA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 w14:paraId="49E34402" w14:textId="16B774F9" w:rsidR="00091EAA" w:rsidRPr="002F0A06" w:rsidRDefault="00091EAA" w:rsidP="00B404C4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="00592276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小红书</w:t>
            </w:r>
          </w:p>
        </w:tc>
        <w:tc>
          <w:tcPr>
            <w:tcW w:w="5153" w:type="dxa"/>
          </w:tcPr>
          <w:p w14:paraId="339DE44F" w14:textId="194B6D12" w:rsidR="00091EAA" w:rsidRPr="002F0A06" w:rsidRDefault="00592276" w:rsidP="001355FB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小红</w:t>
            </w: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书</w:t>
            </w:r>
            <w:r w:rsidR="00100A6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成立</w:t>
            </w:r>
            <w:proofErr w:type="gramEnd"/>
            <w:r w:rsidR="00100A6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于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2018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  <w:r w:rsidR="00100A6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</w:t>
            </w:r>
            <w:r w:rsidR="004D113C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注册地址</w:t>
            </w:r>
            <w:r w:rsidR="00100A6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为：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上海市杨浦区黄兴路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2005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弄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号（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B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楼）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608-4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室</w:t>
            </w:r>
            <w:r w:rsidR="00100A6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  <w:r w:rsidR="00AD2764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小红书以</w:t>
            </w:r>
            <w:r w:rsidR="00AD2764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“Inspire Lives </w:t>
            </w:r>
            <w:r w:rsidR="00AD2764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分享和发现世界的精彩</w:t>
            </w:r>
            <w:r w:rsidR="00AD2764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="00AD2764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为使命，主要有两个业务板块，分别是小红书社区和小红书商城。</w:t>
            </w:r>
          </w:p>
        </w:tc>
      </w:tr>
      <w:tr w:rsidR="00091EAA" w:rsidRPr="002F0A06" w14:paraId="28385CA9" w14:textId="77777777" w:rsidTr="00FD4E6D">
        <w:trPr>
          <w:trHeight w:val="404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51BC1159" w14:textId="77777777" w:rsidR="00091EAA" w:rsidRPr="002F0A06" w:rsidRDefault="00091EAA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6F25B26" w14:textId="7DA407DA" w:rsidR="00091EAA" w:rsidRPr="002F0A06" w:rsidRDefault="00091EAA" w:rsidP="00B404C4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proofErr w:type="gramStart"/>
            <w:r w:rsidR="00592276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长沙鲜物管理</w:t>
            </w:r>
            <w:proofErr w:type="gramEnd"/>
          </w:p>
        </w:tc>
        <w:tc>
          <w:tcPr>
            <w:tcW w:w="5153" w:type="dxa"/>
          </w:tcPr>
          <w:p w14:paraId="43EAF7FC" w14:textId="77DA4240" w:rsidR="00A62A20" w:rsidRPr="002F0A06" w:rsidRDefault="00AD2764" w:rsidP="001355FB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长沙鲜物管理</w:t>
            </w:r>
            <w:proofErr w:type="gramEnd"/>
            <w:r w:rsidR="00100A6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成立于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2021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  <w:r w:rsidR="00100A6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，注册</w:t>
            </w:r>
            <w:r w:rsidR="004D113C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地址</w:t>
            </w:r>
            <w:r w:rsidR="00100A6A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为</w:t>
            </w:r>
            <w:r w:rsidR="004D113C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：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湖南省长沙市岳麓区咸嘉湖街道岳</w:t>
            </w: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麓</w:t>
            </w:r>
            <w:proofErr w:type="gramEnd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大道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369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号岳</w:t>
            </w: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麓</w:t>
            </w:r>
            <w:proofErr w:type="gramEnd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易</w:t>
            </w: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号嘉园</w:t>
            </w:r>
            <w:proofErr w:type="gramEnd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办公楼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502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504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号房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-364</w:t>
            </w:r>
            <w:r w:rsidR="004D113C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  <w:proofErr w:type="gramStart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长沙鲜物管理</w:t>
            </w:r>
            <w:proofErr w:type="gramEnd"/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及其关联企业本味鲜物主要在中国境内从事猪肉制品的生产、销售业务。</w:t>
            </w:r>
          </w:p>
        </w:tc>
      </w:tr>
      <w:tr w:rsidR="00E817BF" w:rsidRPr="002F0A06" w14:paraId="5DEB2917" w14:textId="77777777" w:rsidTr="00FD4E6D">
        <w:trPr>
          <w:trHeight w:val="279"/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15477845" w14:textId="77777777" w:rsidR="00143EBB" w:rsidRPr="002F0A06" w:rsidRDefault="00800C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简易案件理由（可以单选，</w:t>
            </w: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lastRenderedPageBreak/>
              <w:t>也可以多选）</w:t>
            </w:r>
          </w:p>
        </w:tc>
        <w:tc>
          <w:tcPr>
            <w:tcW w:w="6949" w:type="dxa"/>
            <w:gridSpan w:val="2"/>
            <w:vAlign w:val="center"/>
          </w:tcPr>
          <w:p w14:paraId="71DD9D5F" w14:textId="0B2C7954" w:rsidR="00143EBB" w:rsidRPr="002F0A06" w:rsidRDefault="007A52B8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lastRenderedPageBreak/>
              <w:t>□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在同一相关市场，所有参与集中的经营者所占市场份额之和小于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15%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</w:p>
        </w:tc>
      </w:tr>
      <w:tr w:rsidR="00E817BF" w:rsidRPr="002F0A06" w14:paraId="06784C9D" w14:textId="77777777" w:rsidTr="00FD4E6D">
        <w:trPr>
          <w:trHeight w:val="330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219440A2" w14:textId="77777777" w:rsidR="00143EBB" w:rsidRPr="002F0A06" w:rsidRDefault="00143EB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4F804232" w14:textId="44374A88" w:rsidR="00143EBB" w:rsidRPr="002F0A06" w:rsidRDefault="007A52B8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sym w:font="Wingdings" w:char="F0FE"/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存在上下游关系的参与集中的经营者，在上下游市场所占的市场份额均小于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25%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</w:p>
        </w:tc>
      </w:tr>
      <w:tr w:rsidR="00E817BF" w:rsidRPr="002F0A06" w14:paraId="2BF40F06" w14:textId="77777777" w:rsidTr="00FD4E6D">
        <w:trPr>
          <w:trHeight w:val="285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501FCB59" w14:textId="77777777" w:rsidR="00143EBB" w:rsidRPr="002F0A06" w:rsidRDefault="00143EB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6EC8E487" w14:textId="52C900AD" w:rsidR="00143EBB" w:rsidRPr="002F0A06" w:rsidRDefault="00A62A20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3.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25%</w:t>
            </w:r>
            <w:r w:rsidR="00800C3E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</w:p>
        </w:tc>
      </w:tr>
      <w:tr w:rsidR="00E817BF" w:rsidRPr="002F0A06" w14:paraId="58E2CF39" w14:textId="77777777" w:rsidTr="00FD4E6D">
        <w:trPr>
          <w:trHeight w:val="870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4CF115F2" w14:textId="77777777" w:rsidR="00143EBB" w:rsidRPr="002F0A06" w:rsidRDefault="00143EB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57E3CAAA" w14:textId="77777777" w:rsidR="00143EBB" w:rsidRPr="002F0A06" w:rsidRDefault="00800C3E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□4.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E817BF" w:rsidRPr="002F0A06" w14:paraId="718874EF" w14:textId="77777777" w:rsidTr="00FD4E6D">
        <w:trPr>
          <w:trHeight w:val="264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10349407" w14:textId="77777777" w:rsidR="00143EBB" w:rsidRPr="002F0A06" w:rsidRDefault="00143EB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4C1F8D9C" w14:textId="77777777" w:rsidR="00143EBB" w:rsidRPr="002F0A06" w:rsidRDefault="00800C3E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□5.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E817BF" w:rsidRPr="002F0A06" w14:paraId="3FBBA8E2" w14:textId="77777777" w:rsidTr="00FD4E6D">
        <w:trPr>
          <w:trHeight w:val="345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1AFAD7CF" w14:textId="77777777" w:rsidR="00143EBB" w:rsidRPr="002F0A06" w:rsidRDefault="00143EB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2435D1BB" w14:textId="77777777" w:rsidR="00143EBB" w:rsidRPr="002F0A06" w:rsidRDefault="00800C3E">
            <w:pPr>
              <w:spacing w:line="5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□6.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E817BF" w:rsidRPr="002F0A06" w14:paraId="5A955D98" w14:textId="77777777" w:rsidTr="00FD4E6D">
        <w:trPr>
          <w:jc w:val="center"/>
        </w:trPr>
        <w:tc>
          <w:tcPr>
            <w:tcW w:w="1809" w:type="dxa"/>
            <w:shd w:val="clear" w:color="auto" w:fill="D9D9D9"/>
            <w:vAlign w:val="center"/>
          </w:tcPr>
          <w:p w14:paraId="1D4AB78D" w14:textId="77777777" w:rsidR="00143EBB" w:rsidRPr="002F0A06" w:rsidRDefault="00800C3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 w14:paraId="528BC8C9" w14:textId="042BC4BE" w:rsidR="00401449" w:rsidRPr="002F0A06" w:rsidRDefault="00800C3E">
            <w:pPr>
              <w:spacing w:line="500" w:lineRule="exact"/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</w:pPr>
            <w:r w:rsidRPr="002F0A06">
              <w:rPr>
                <w:rFonts w:ascii="Times New Roman" w:eastAsia="仿宋_GB2312" w:hAnsi="Times New Roman"/>
                <w:b/>
                <w:sz w:val="24"/>
                <w:szCs w:val="24"/>
                <w:u w:val="single"/>
              </w:rPr>
              <w:t>相关市场界定及份额：</w:t>
            </w:r>
          </w:p>
          <w:p w14:paraId="49914FB1" w14:textId="7A943B76" w:rsidR="00F45BE6" w:rsidRPr="002F0A06" w:rsidRDefault="002B787B" w:rsidP="00B42B96">
            <w:pPr>
              <w:pStyle w:val="a7"/>
              <w:numPr>
                <w:ilvl w:val="0"/>
                <w:numId w:val="9"/>
              </w:numPr>
              <w:spacing w:line="500" w:lineRule="exact"/>
              <w:ind w:firstLineChars="0"/>
              <w:rPr>
                <w:rFonts w:ascii="Times New Roman" w:eastAsia="仿宋_GB2312" w:hAnsi="Times New Roman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上游市场</w:t>
            </w: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-</w:t>
            </w:r>
            <w:r w:rsidR="00821005"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中国</w:t>
            </w:r>
            <w:r w:rsidR="00847180"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境内</w:t>
            </w: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猪肉制品</w:t>
            </w:r>
            <w:r w:rsidR="00821005"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市场</w:t>
            </w:r>
            <w:r w:rsidR="00821005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：</w:t>
            </w:r>
          </w:p>
          <w:p w14:paraId="783C051E" w14:textId="2E68F6EF" w:rsidR="00B30D35" w:rsidRPr="002F0A06" w:rsidRDefault="002B787B" w:rsidP="001355FB">
            <w:pPr>
              <w:pStyle w:val="a7"/>
              <w:spacing w:line="500" w:lineRule="exact"/>
              <w:ind w:left="360" w:firstLineChars="0" w:firstLine="0"/>
              <w:rPr>
                <w:rFonts w:ascii="Times New Roman" w:eastAsia="仿宋_GB2312" w:hAnsi="Times New Roman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本味鲜物</w:t>
            </w:r>
            <w:r w:rsidR="00433F5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[0-5]%</w:t>
            </w:r>
            <w:r w:rsidR="00433F52"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</w:p>
          <w:p w14:paraId="12F2FB5A" w14:textId="77777777" w:rsidR="00433F52" w:rsidRPr="002F0A06" w:rsidRDefault="00433F52" w:rsidP="001B5FAB">
            <w:pPr>
              <w:pStyle w:val="a7"/>
              <w:numPr>
                <w:ilvl w:val="0"/>
                <w:numId w:val="9"/>
              </w:numPr>
              <w:spacing w:line="500" w:lineRule="exact"/>
              <w:ind w:firstLineChars="0"/>
              <w:rPr>
                <w:rFonts w:ascii="Times New Roman" w:eastAsia="仿宋_GB2312" w:hAnsi="Times New Roman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下游市场</w:t>
            </w:r>
          </w:p>
          <w:p w14:paraId="7DCD8945" w14:textId="2DACACB5" w:rsidR="00F45BE6" w:rsidRPr="002F0A06" w:rsidRDefault="00B42B96" w:rsidP="001355FB">
            <w:pPr>
              <w:pStyle w:val="a7"/>
              <w:numPr>
                <w:ilvl w:val="0"/>
                <w:numId w:val="10"/>
              </w:numPr>
              <w:spacing w:line="500" w:lineRule="exact"/>
              <w:ind w:firstLineChars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中国</w:t>
            </w:r>
            <w:r w:rsidR="00847180"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境内</w:t>
            </w:r>
            <w:r w:rsidR="00433F52"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生活方式资讯分享平台服务市场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：</w:t>
            </w:r>
          </w:p>
          <w:p w14:paraId="4EA7E8AD" w14:textId="27FC8E11" w:rsidR="001355FB" w:rsidRPr="002F0A06" w:rsidRDefault="001355FB" w:rsidP="001355FB">
            <w:pPr>
              <w:pStyle w:val="a7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小红书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[0-5]%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</w:p>
          <w:p w14:paraId="3A5D55A6" w14:textId="77777777" w:rsidR="001355FB" w:rsidRPr="002F0A06" w:rsidRDefault="001355FB" w:rsidP="001355FB">
            <w:pPr>
              <w:pStyle w:val="a7"/>
              <w:numPr>
                <w:ilvl w:val="0"/>
                <w:numId w:val="10"/>
              </w:numPr>
              <w:spacing w:line="500" w:lineRule="exact"/>
              <w:ind w:firstLineChars="0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中国境内网络零售平台服务市场：</w:t>
            </w:r>
          </w:p>
          <w:p w14:paraId="45D6C020" w14:textId="2E4F7C39" w:rsidR="00B42B96" w:rsidRPr="002F0A06" w:rsidRDefault="001355FB" w:rsidP="001355FB">
            <w:pPr>
              <w:pStyle w:val="a7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小红书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[0-5]%</w:t>
            </w:r>
            <w:r w:rsidRPr="002F0A0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。</w:t>
            </w:r>
          </w:p>
        </w:tc>
      </w:tr>
    </w:tbl>
    <w:p w14:paraId="2F34857C" w14:textId="77777777" w:rsidR="00143EBB" w:rsidRPr="000C6931" w:rsidRDefault="00143EBB">
      <w:pPr>
        <w:rPr>
          <w:rFonts w:ascii="Times New Roman" w:eastAsia="仿宋_GB2312" w:hAnsi="Times New Roman"/>
          <w:sz w:val="24"/>
          <w:szCs w:val="24"/>
        </w:rPr>
      </w:pPr>
    </w:p>
    <w:sectPr w:rsidR="00143EBB" w:rsidRPr="000C69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398F7" w14:textId="77777777" w:rsidR="0095043A" w:rsidRDefault="0095043A" w:rsidP="0098648E">
      <w:r>
        <w:separator/>
      </w:r>
    </w:p>
  </w:endnote>
  <w:endnote w:type="continuationSeparator" w:id="0">
    <w:p w14:paraId="2B963CD7" w14:textId="77777777" w:rsidR="0095043A" w:rsidRDefault="0095043A" w:rsidP="0098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76567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305CA6" w14:textId="6C8EC08E" w:rsidR="00471606" w:rsidRPr="00471606" w:rsidRDefault="00471606" w:rsidP="00471606">
        <w:pPr>
          <w:pStyle w:val="a3"/>
          <w:jc w:val="center"/>
          <w:rPr>
            <w:rFonts w:ascii="Times New Roman" w:hAnsi="Times New Roman"/>
          </w:rPr>
        </w:pPr>
        <w:r w:rsidRPr="00471606">
          <w:rPr>
            <w:rFonts w:ascii="Times New Roman" w:hAnsi="Times New Roman"/>
          </w:rPr>
          <w:fldChar w:fldCharType="begin"/>
        </w:r>
        <w:r w:rsidRPr="00471606">
          <w:rPr>
            <w:rFonts w:ascii="Times New Roman" w:hAnsi="Times New Roman"/>
          </w:rPr>
          <w:instrText>PAGE   \* MERGEFORMAT</w:instrText>
        </w:r>
        <w:r w:rsidRPr="00471606">
          <w:rPr>
            <w:rFonts w:ascii="Times New Roman" w:hAnsi="Times New Roman"/>
          </w:rPr>
          <w:fldChar w:fldCharType="separate"/>
        </w:r>
        <w:r w:rsidR="00D742AD" w:rsidRPr="00D742AD">
          <w:rPr>
            <w:rFonts w:ascii="Times New Roman" w:hAnsi="Times New Roman"/>
            <w:noProof/>
            <w:lang w:val="zh-CN"/>
          </w:rPr>
          <w:t>2</w:t>
        </w:r>
        <w:r w:rsidRPr="00471606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E4380" w14:textId="77777777" w:rsidR="0095043A" w:rsidRDefault="0095043A" w:rsidP="0098648E">
      <w:r>
        <w:separator/>
      </w:r>
    </w:p>
  </w:footnote>
  <w:footnote w:type="continuationSeparator" w:id="0">
    <w:p w14:paraId="1064D897" w14:textId="77777777" w:rsidR="0095043A" w:rsidRDefault="0095043A" w:rsidP="0098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16C"/>
    <w:multiLevelType w:val="hybridMultilevel"/>
    <w:tmpl w:val="0FF0CCB0"/>
    <w:lvl w:ilvl="0" w:tplc="F6CA6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FC490A"/>
    <w:multiLevelType w:val="hybridMultilevel"/>
    <w:tmpl w:val="86F6F328"/>
    <w:lvl w:ilvl="0" w:tplc="277891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7700BA"/>
    <w:multiLevelType w:val="hybridMultilevel"/>
    <w:tmpl w:val="0586427C"/>
    <w:lvl w:ilvl="0" w:tplc="277891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D2442"/>
    <w:multiLevelType w:val="hybridMultilevel"/>
    <w:tmpl w:val="102010F0"/>
    <w:lvl w:ilvl="0" w:tplc="21F653B2">
      <w:start w:val="1"/>
      <w:numFmt w:val="bullet"/>
      <w:lvlText w:val="-"/>
      <w:lvlJc w:val="left"/>
      <w:pPr>
        <w:ind w:left="420" w:hanging="420"/>
      </w:pPr>
      <w:rPr>
        <w:rFonts w:ascii="楷体_GB2312" w:eastAsia="楷体_GB2312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9B54E6"/>
    <w:multiLevelType w:val="hybridMultilevel"/>
    <w:tmpl w:val="16342D8A"/>
    <w:lvl w:ilvl="0" w:tplc="799CD0C8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0B1FA9"/>
    <w:multiLevelType w:val="hybridMultilevel"/>
    <w:tmpl w:val="B450D198"/>
    <w:lvl w:ilvl="0" w:tplc="3C5CFD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CE7400"/>
    <w:multiLevelType w:val="hybridMultilevel"/>
    <w:tmpl w:val="9182B1C2"/>
    <w:lvl w:ilvl="0" w:tplc="05FCEBA6">
      <w:start w:val="1"/>
      <w:numFmt w:val="decimal"/>
      <w:lvlText w:val="（%1）"/>
      <w:lvlJc w:val="left"/>
      <w:pPr>
        <w:ind w:left="720" w:hanging="720"/>
      </w:pPr>
      <w:rPr>
        <w:rFonts w:ascii="Times New Roman" w:eastAsia="仿宋_GB2312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AF68C3"/>
    <w:multiLevelType w:val="hybridMultilevel"/>
    <w:tmpl w:val="A1B41730"/>
    <w:lvl w:ilvl="0" w:tplc="39DE6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1B58F2"/>
    <w:multiLevelType w:val="hybridMultilevel"/>
    <w:tmpl w:val="8D403922"/>
    <w:lvl w:ilvl="0" w:tplc="EC562E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92727A9"/>
    <w:multiLevelType w:val="multilevel"/>
    <w:tmpl w:val="792727A9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37065"/>
    <w:rsid w:val="000466E0"/>
    <w:rsid w:val="00066D65"/>
    <w:rsid w:val="00071BFC"/>
    <w:rsid w:val="00075107"/>
    <w:rsid w:val="00090E61"/>
    <w:rsid w:val="00091EAA"/>
    <w:rsid w:val="00092322"/>
    <w:rsid w:val="0009269A"/>
    <w:rsid w:val="000A4AFE"/>
    <w:rsid w:val="000C375C"/>
    <w:rsid w:val="000C6931"/>
    <w:rsid w:val="000D7EBA"/>
    <w:rsid w:val="000F322A"/>
    <w:rsid w:val="00100A6A"/>
    <w:rsid w:val="0010373F"/>
    <w:rsid w:val="001164CD"/>
    <w:rsid w:val="001355FB"/>
    <w:rsid w:val="001369F7"/>
    <w:rsid w:val="001432DA"/>
    <w:rsid w:val="00143EBB"/>
    <w:rsid w:val="00146747"/>
    <w:rsid w:val="00155717"/>
    <w:rsid w:val="001837A3"/>
    <w:rsid w:val="001A2243"/>
    <w:rsid w:val="001A3B16"/>
    <w:rsid w:val="001B5FAB"/>
    <w:rsid w:val="001D3A8B"/>
    <w:rsid w:val="001E032B"/>
    <w:rsid w:val="001E3778"/>
    <w:rsid w:val="001F485A"/>
    <w:rsid w:val="00213584"/>
    <w:rsid w:val="00213BCA"/>
    <w:rsid w:val="002360E4"/>
    <w:rsid w:val="00245C4A"/>
    <w:rsid w:val="00256AD5"/>
    <w:rsid w:val="002653C3"/>
    <w:rsid w:val="00291B72"/>
    <w:rsid w:val="00296284"/>
    <w:rsid w:val="002B1946"/>
    <w:rsid w:val="002B787B"/>
    <w:rsid w:val="002C68F9"/>
    <w:rsid w:val="002D6381"/>
    <w:rsid w:val="002E7063"/>
    <w:rsid w:val="002F0A06"/>
    <w:rsid w:val="002F5FB6"/>
    <w:rsid w:val="00300479"/>
    <w:rsid w:val="003057C5"/>
    <w:rsid w:val="003166E5"/>
    <w:rsid w:val="00334943"/>
    <w:rsid w:val="00336808"/>
    <w:rsid w:val="003437DF"/>
    <w:rsid w:val="0034397F"/>
    <w:rsid w:val="00356A86"/>
    <w:rsid w:val="003578D8"/>
    <w:rsid w:val="003842C8"/>
    <w:rsid w:val="00397794"/>
    <w:rsid w:val="003C0AEB"/>
    <w:rsid w:val="003D1482"/>
    <w:rsid w:val="00401449"/>
    <w:rsid w:val="00406639"/>
    <w:rsid w:val="00412831"/>
    <w:rsid w:val="00433F52"/>
    <w:rsid w:val="004341AC"/>
    <w:rsid w:val="00444F82"/>
    <w:rsid w:val="00445B23"/>
    <w:rsid w:val="00470BB7"/>
    <w:rsid w:val="00471606"/>
    <w:rsid w:val="004D113C"/>
    <w:rsid w:val="004F431A"/>
    <w:rsid w:val="004F7688"/>
    <w:rsid w:val="00516F69"/>
    <w:rsid w:val="00521578"/>
    <w:rsid w:val="00533330"/>
    <w:rsid w:val="00540581"/>
    <w:rsid w:val="00543AB8"/>
    <w:rsid w:val="00543E6D"/>
    <w:rsid w:val="00544AE7"/>
    <w:rsid w:val="00544B57"/>
    <w:rsid w:val="00554FE3"/>
    <w:rsid w:val="00561070"/>
    <w:rsid w:val="005805C6"/>
    <w:rsid w:val="00590ABB"/>
    <w:rsid w:val="00592276"/>
    <w:rsid w:val="00592EE3"/>
    <w:rsid w:val="005D71A2"/>
    <w:rsid w:val="006024A4"/>
    <w:rsid w:val="0060614B"/>
    <w:rsid w:val="006216D1"/>
    <w:rsid w:val="00622B78"/>
    <w:rsid w:val="00623B27"/>
    <w:rsid w:val="006467D8"/>
    <w:rsid w:val="00663C0D"/>
    <w:rsid w:val="00666E66"/>
    <w:rsid w:val="006737E4"/>
    <w:rsid w:val="00682905"/>
    <w:rsid w:val="006833DD"/>
    <w:rsid w:val="006946D9"/>
    <w:rsid w:val="006A531B"/>
    <w:rsid w:val="006B75D5"/>
    <w:rsid w:val="006D0CC6"/>
    <w:rsid w:val="006D2AB9"/>
    <w:rsid w:val="006D3DBE"/>
    <w:rsid w:val="006E2CCB"/>
    <w:rsid w:val="006E36E1"/>
    <w:rsid w:val="006F7693"/>
    <w:rsid w:val="00707503"/>
    <w:rsid w:val="007100F0"/>
    <w:rsid w:val="00710140"/>
    <w:rsid w:val="00725292"/>
    <w:rsid w:val="007327A7"/>
    <w:rsid w:val="007703E0"/>
    <w:rsid w:val="00773E9E"/>
    <w:rsid w:val="007922FF"/>
    <w:rsid w:val="007A52B8"/>
    <w:rsid w:val="007A79D2"/>
    <w:rsid w:val="007B5BF3"/>
    <w:rsid w:val="007B6176"/>
    <w:rsid w:val="007B7C77"/>
    <w:rsid w:val="007D2DCB"/>
    <w:rsid w:val="007F2275"/>
    <w:rsid w:val="007F33A5"/>
    <w:rsid w:val="00800C3E"/>
    <w:rsid w:val="00801DA7"/>
    <w:rsid w:val="0080318B"/>
    <w:rsid w:val="00805438"/>
    <w:rsid w:val="00821005"/>
    <w:rsid w:val="008350F4"/>
    <w:rsid w:val="00847180"/>
    <w:rsid w:val="00847AF1"/>
    <w:rsid w:val="00861207"/>
    <w:rsid w:val="0088767E"/>
    <w:rsid w:val="008A4111"/>
    <w:rsid w:val="008D542A"/>
    <w:rsid w:val="008E1DBF"/>
    <w:rsid w:val="008E65E2"/>
    <w:rsid w:val="0090697E"/>
    <w:rsid w:val="009135C8"/>
    <w:rsid w:val="00915F0F"/>
    <w:rsid w:val="00920546"/>
    <w:rsid w:val="009216CE"/>
    <w:rsid w:val="009221E2"/>
    <w:rsid w:val="009271A0"/>
    <w:rsid w:val="00942700"/>
    <w:rsid w:val="0095043A"/>
    <w:rsid w:val="009532DF"/>
    <w:rsid w:val="009708BB"/>
    <w:rsid w:val="00975C84"/>
    <w:rsid w:val="0098648E"/>
    <w:rsid w:val="00993C94"/>
    <w:rsid w:val="00997019"/>
    <w:rsid w:val="009A5029"/>
    <w:rsid w:val="009B0331"/>
    <w:rsid w:val="009C4191"/>
    <w:rsid w:val="009D38D5"/>
    <w:rsid w:val="009D5152"/>
    <w:rsid w:val="009F5E8E"/>
    <w:rsid w:val="00A040C7"/>
    <w:rsid w:val="00A53F26"/>
    <w:rsid w:val="00A62A20"/>
    <w:rsid w:val="00A67796"/>
    <w:rsid w:val="00A7156E"/>
    <w:rsid w:val="00A720B5"/>
    <w:rsid w:val="00A82F7A"/>
    <w:rsid w:val="00A8399C"/>
    <w:rsid w:val="00A93007"/>
    <w:rsid w:val="00AA0CC5"/>
    <w:rsid w:val="00AD2764"/>
    <w:rsid w:val="00AD62F3"/>
    <w:rsid w:val="00AE365F"/>
    <w:rsid w:val="00B03E0C"/>
    <w:rsid w:val="00B16AFE"/>
    <w:rsid w:val="00B223BE"/>
    <w:rsid w:val="00B25529"/>
    <w:rsid w:val="00B30D35"/>
    <w:rsid w:val="00B404C4"/>
    <w:rsid w:val="00B42B96"/>
    <w:rsid w:val="00B45442"/>
    <w:rsid w:val="00B515B5"/>
    <w:rsid w:val="00B574F9"/>
    <w:rsid w:val="00B65DD5"/>
    <w:rsid w:val="00B76F1E"/>
    <w:rsid w:val="00B9761E"/>
    <w:rsid w:val="00BA4778"/>
    <w:rsid w:val="00BA555B"/>
    <w:rsid w:val="00BB2EF8"/>
    <w:rsid w:val="00BD10B6"/>
    <w:rsid w:val="00BF5123"/>
    <w:rsid w:val="00BF5941"/>
    <w:rsid w:val="00BF7150"/>
    <w:rsid w:val="00C07076"/>
    <w:rsid w:val="00C13ED6"/>
    <w:rsid w:val="00C2164F"/>
    <w:rsid w:val="00C50BB0"/>
    <w:rsid w:val="00C62B39"/>
    <w:rsid w:val="00C8229A"/>
    <w:rsid w:val="00C868B8"/>
    <w:rsid w:val="00C91D88"/>
    <w:rsid w:val="00C93DF7"/>
    <w:rsid w:val="00CA1391"/>
    <w:rsid w:val="00CA7A84"/>
    <w:rsid w:val="00CB00DF"/>
    <w:rsid w:val="00CB2271"/>
    <w:rsid w:val="00CC1B1F"/>
    <w:rsid w:val="00D0075D"/>
    <w:rsid w:val="00D36A88"/>
    <w:rsid w:val="00D41900"/>
    <w:rsid w:val="00D434CD"/>
    <w:rsid w:val="00D56F4A"/>
    <w:rsid w:val="00D72C0D"/>
    <w:rsid w:val="00D73C72"/>
    <w:rsid w:val="00D742AD"/>
    <w:rsid w:val="00D9228E"/>
    <w:rsid w:val="00E00ACB"/>
    <w:rsid w:val="00E0592B"/>
    <w:rsid w:val="00E10A2F"/>
    <w:rsid w:val="00E119BA"/>
    <w:rsid w:val="00E123A6"/>
    <w:rsid w:val="00E13653"/>
    <w:rsid w:val="00E21D54"/>
    <w:rsid w:val="00E31738"/>
    <w:rsid w:val="00E33332"/>
    <w:rsid w:val="00E70C23"/>
    <w:rsid w:val="00E8096E"/>
    <w:rsid w:val="00E817BF"/>
    <w:rsid w:val="00E86786"/>
    <w:rsid w:val="00E948D0"/>
    <w:rsid w:val="00EA4AE8"/>
    <w:rsid w:val="00EB1512"/>
    <w:rsid w:val="00EB6C86"/>
    <w:rsid w:val="00EC1743"/>
    <w:rsid w:val="00ED2F80"/>
    <w:rsid w:val="00ED3706"/>
    <w:rsid w:val="00ED4C27"/>
    <w:rsid w:val="00EE0A39"/>
    <w:rsid w:val="00EE32CF"/>
    <w:rsid w:val="00EE567C"/>
    <w:rsid w:val="00F01FBB"/>
    <w:rsid w:val="00F15AD9"/>
    <w:rsid w:val="00F1624E"/>
    <w:rsid w:val="00F17425"/>
    <w:rsid w:val="00F237C1"/>
    <w:rsid w:val="00F2761C"/>
    <w:rsid w:val="00F32F8A"/>
    <w:rsid w:val="00F37E98"/>
    <w:rsid w:val="00F45BE6"/>
    <w:rsid w:val="00F62F8A"/>
    <w:rsid w:val="00F810AA"/>
    <w:rsid w:val="00FA341E"/>
    <w:rsid w:val="00FB15E7"/>
    <w:rsid w:val="00FB43EC"/>
    <w:rsid w:val="00FB6B40"/>
    <w:rsid w:val="00FD4E6D"/>
    <w:rsid w:val="6044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EE01"/>
  <w15:docId w15:val="{C8D2483D-EA68-44C4-B39B-9165828D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link w:val="a8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00C3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0C3E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列出段落 字符"/>
    <w:link w:val="a7"/>
    <w:uiPriority w:val="34"/>
    <w:locked/>
    <w:rsid w:val="00B515B5"/>
    <w:rPr>
      <w:rFonts w:ascii="Calibri" w:eastAsia="宋体" w:hAnsi="Calibri" w:cs="Times New Roman"/>
      <w:kern w:val="2"/>
      <w:sz w:val="21"/>
      <w:szCs w:val="22"/>
    </w:rPr>
  </w:style>
  <w:style w:type="paragraph" w:styleId="ab">
    <w:name w:val="footnote text"/>
    <w:basedOn w:val="a"/>
    <w:link w:val="ac"/>
    <w:rsid w:val="00406639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c">
    <w:name w:val="脚注文本 字符"/>
    <w:basedOn w:val="a0"/>
    <w:link w:val="ab"/>
    <w:rsid w:val="00406639"/>
    <w:rPr>
      <w:rFonts w:ascii="Times New Roman" w:eastAsia="宋体" w:hAnsi="Times New Roman" w:cs="Times New Roman"/>
      <w:kern w:val="2"/>
      <w:sz w:val="18"/>
      <w:szCs w:val="18"/>
    </w:rPr>
  </w:style>
  <w:style w:type="character" w:styleId="ad">
    <w:name w:val="footnote reference"/>
    <w:basedOn w:val="a0"/>
    <w:unhideWhenUsed/>
    <w:rsid w:val="00406639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F322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F322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F322A"/>
    <w:rPr>
      <w:rFonts w:ascii="Calibri" w:eastAsia="宋体" w:hAnsi="Calibri" w:cs="Times New Roman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322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F322A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作者</dc:creator>
  <cp:lastModifiedBy>King &amp; Wood Mallesons</cp:lastModifiedBy>
  <cp:revision>6</cp:revision>
  <cp:lastPrinted>2019-12-18T03:32:00Z</cp:lastPrinted>
  <dcterms:created xsi:type="dcterms:W3CDTF">2021-09-14T14:16:00Z</dcterms:created>
  <dcterms:modified xsi:type="dcterms:W3CDTF">2021-09-17T02:16:00Z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