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86" w:rsidRPr="001C7765" w:rsidRDefault="00A67940">
      <w:pPr>
        <w:spacing w:line="440" w:lineRule="exact"/>
        <w:jc w:val="center"/>
        <w:rPr>
          <w:rFonts w:ascii="仿宋" w:eastAsia="仿宋" w:hAnsi="仿宋"/>
          <w:sz w:val="30"/>
          <w:szCs w:val="30"/>
        </w:rPr>
      </w:pPr>
      <w:r w:rsidRPr="001C7765">
        <w:rPr>
          <w:rFonts w:ascii="仿宋" w:eastAsia="仿宋" w:hAnsi="仿宋"/>
          <w:sz w:val="30"/>
          <w:szCs w:val="30"/>
        </w:rPr>
        <w:t>经营者集中简易案件公示表</w:t>
      </w:r>
    </w:p>
    <w:p w:rsidR="00A11C86" w:rsidRPr="001C7765" w:rsidRDefault="00A11C86" w:rsidP="00F92A52">
      <w:pPr>
        <w:spacing w:line="440" w:lineRule="exact"/>
        <w:rPr>
          <w:rFonts w:ascii="仿宋" w:eastAsia="仿宋" w:hAnsi="仿宋"/>
          <w:sz w:val="28"/>
          <w:szCs w:val="28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96"/>
        <w:gridCol w:w="5153"/>
      </w:tblGrid>
      <w:tr w:rsidR="00A11C86" w:rsidRPr="001C7765">
        <w:tc>
          <w:tcPr>
            <w:tcW w:w="1809" w:type="dxa"/>
            <w:shd w:val="clear" w:color="auto" w:fill="D9D9D9"/>
            <w:vAlign w:val="center"/>
          </w:tcPr>
          <w:p w:rsidR="00A11C86" w:rsidRPr="001C7765" w:rsidRDefault="00A67940">
            <w:pPr>
              <w:spacing w:line="500" w:lineRule="exact"/>
              <w:jc w:val="center"/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</w:pPr>
            <w:r w:rsidRPr="001C7765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6949" w:type="dxa"/>
            <w:gridSpan w:val="2"/>
          </w:tcPr>
          <w:p w:rsidR="00A11C86" w:rsidRPr="001C7765" w:rsidRDefault="00F92A52">
            <w:pPr>
              <w:spacing w:line="500" w:lineRule="exact"/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</w:pPr>
            <w:r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珠海格力电器股份有限公司收购银隆新能源股份有限公司股权案</w:t>
            </w:r>
          </w:p>
        </w:tc>
      </w:tr>
      <w:tr w:rsidR="00A11C86" w:rsidRPr="001C7765">
        <w:trPr>
          <w:trHeight w:val="993"/>
        </w:trPr>
        <w:tc>
          <w:tcPr>
            <w:tcW w:w="1809" w:type="dxa"/>
            <w:shd w:val="clear" w:color="auto" w:fill="D9D9D9"/>
            <w:vAlign w:val="center"/>
          </w:tcPr>
          <w:p w:rsidR="00A11C86" w:rsidRPr="001C7765" w:rsidRDefault="00A67940">
            <w:pPr>
              <w:spacing w:line="500" w:lineRule="exact"/>
              <w:jc w:val="center"/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</w:pPr>
            <w:r w:rsidRPr="001C7765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交易概况</w:t>
            </w:r>
          </w:p>
          <w:p w:rsidR="00A11C86" w:rsidRPr="001C7765" w:rsidRDefault="00A67940">
            <w:pPr>
              <w:spacing w:line="500" w:lineRule="exact"/>
              <w:jc w:val="center"/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</w:pPr>
            <w:r w:rsidRPr="001C7765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（限200字内）</w:t>
            </w:r>
          </w:p>
        </w:tc>
        <w:tc>
          <w:tcPr>
            <w:tcW w:w="6949" w:type="dxa"/>
            <w:gridSpan w:val="2"/>
          </w:tcPr>
          <w:p w:rsidR="00A11C86" w:rsidRPr="001C7765" w:rsidRDefault="00F92A52" w:rsidP="009B675C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珠海格力电器股份有限公司</w:t>
            </w:r>
            <w:r w:rsidR="00397EA8"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（“格力电器”）</w:t>
            </w:r>
            <w:r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参加广东省珠海市中级人民法院</w:t>
            </w:r>
            <w:r w:rsidR="00F52F45"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公开司法拍卖并成功竞拍</w:t>
            </w:r>
            <w:r w:rsidR="00397EA8"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珠海市</w:t>
            </w:r>
            <w:proofErr w:type="gramStart"/>
            <w:r w:rsidR="00397EA8"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银隆投资</w:t>
            </w:r>
            <w:proofErr w:type="gramEnd"/>
            <w:r w:rsidR="00397EA8"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控股集团有限责任公司、珠海厚铭投资有限公司及珠海红恺软件科技有限公司持有</w:t>
            </w:r>
            <w:proofErr w:type="gramStart"/>
            <w:r w:rsidR="00397EA8"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的银隆新能源</w:t>
            </w:r>
            <w:proofErr w:type="gramEnd"/>
            <w:r w:rsidR="00397EA8"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股份有限公司</w:t>
            </w:r>
            <w:r w:rsidR="002E12D1"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（“银隆新能源”）</w:t>
            </w:r>
            <w:r w:rsidR="00397EA8"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合计336,197,406股</w:t>
            </w:r>
            <w:r w:rsidR="009B675C"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股份</w:t>
            </w:r>
            <w:r w:rsidR="002E12D1"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（</w:t>
            </w:r>
            <w:r w:rsidR="00397EA8"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30.47%</w:t>
            </w:r>
            <w:r w:rsidR="002E12D1"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）</w:t>
            </w:r>
            <w:r w:rsidR="00397EA8"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。同日，董明珠女士与格力电器签订《表决权委托协议》</w:t>
            </w:r>
            <w:r w:rsidR="009B675C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，</w:t>
            </w:r>
            <w:r w:rsidR="002E12D1"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委托</w:t>
            </w:r>
            <w:r w:rsidR="00397EA8"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格力电器代为</w:t>
            </w:r>
            <w:proofErr w:type="gramStart"/>
            <w:r w:rsidR="00397EA8"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行使</w:t>
            </w:r>
            <w:r w:rsidR="002E12D1"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银隆新能源</w:t>
            </w:r>
            <w:proofErr w:type="gramEnd"/>
            <w:r w:rsidR="00397EA8"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17.46%股份</w:t>
            </w:r>
            <w:r w:rsidR="00426CCC"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的</w:t>
            </w:r>
            <w:r w:rsidR="00397EA8"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表决权。</w:t>
            </w:r>
            <w:r w:rsidR="002E12D1"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本次</w:t>
            </w:r>
            <w:r w:rsidR="00A67940"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交易后</w:t>
            </w:r>
            <w:r w:rsidR="00397EA8"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格力电器</w:t>
            </w:r>
            <w:proofErr w:type="gramStart"/>
            <w:r w:rsidR="00397EA8"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享有银隆新能源</w:t>
            </w:r>
            <w:proofErr w:type="gramEnd"/>
            <w:r w:rsidR="00397EA8"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47.93%股份</w:t>
            </w:r>
            <w:r w:rsidR="00426CCC"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的</w:t>
            </w:r>
            <w:r w:rsidR="00397EA8"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表决权，</w:t>
            </w:r>
            <w:r w:rsidR="00397EA8" w:rsidRPr="001C7765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取得单独控制权</w:t>
            </w:r>
            <w:r w:rsidR="00397EA8"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A11C86" w:rsidRPr="001C7765">
        <w:trPr>
          <w:trHeight w:val="468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:rsidR="00A11C86" w:rsidRPr="001C7765" w:rsidRDefault="00A67940">
            <w:pPr>
              <w:spacing w:line="500" w:lineRule="exact"/>
              <w:jc w:val="center"/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</w:pPr>
            <w:bookmarkStart w:id="0" w:name="_Hlk80113897"/>
            <w:r w:rsidRPr="001C7765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参与集中的</w:t>
            </w:r>
          </w:p>
          <w:p w:rsidR="00A11C86" w:rsidRPr="001C7765" w:rsidRDefault="00A67940">
            <w:pPr>
              <w:spacing w:line="500" w:lineRule="exact"/>
              <w:jc w:val="center"/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</w:pPr>
            <w:r w:rsidRPr="001C7765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经营者简介</w:t>
            </w:r>
          </w:p>
        </w:tc>
        <w:tc>
          <w:tcPr>
            <w:tcW w:w="1796" w:type="dxa"/>
          </w:tcPr>
          <w:p w:rsidR="00A11C86" w:rsidRPr="001C7765" w:rsidRDefault="00A67940">
            <w:pPr>
              <w:spacing w:line="500" w:lineRule="exact"/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</w:pPr>
            <w:r w:rsidRPr="001C7765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1、</w:t>
            </w:r>
            <w:r w:rsidR="002E12D1"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格力电器</w:t>
            </w:r>
          </w:p>
        </w:tc>
        <w:tc>
          <w:tcPr>
            <w:tcW w:w="5153" w:type="dxa"/>
          </w:tcPr>
          <w:p w:rsidR="00A11C86" w:rsidRPr="001C7765" w:rsidRDefault="002E12D1">
            <w:pPr>
              <w:spacing w:line="500" w:lineRule="exact"/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</w:pPr>
            <w:bookmarkStart w:id="1" w:name="OLE_LINK2"/>
            <w:bookmarkStart w:id="2" w:name="OLE_LINK1"/>
            <w:r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格力电器</w:t>
            </w:r>
            <w:r w:rsidR="0025525C"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成立于</w:t>
            </w:r>
            <w:r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1989</w:t>
            </w:r>
            <w:r w:rsidR="0025525C"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年</w:t>
            </w:r>
            <w:r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，1996年经中国证监会批复同意在深圳证券交易所上市。</w:t>
            </w:r>
            <w:bookmarkEnd w:id="1"/>
            <w:bookmarkEnd w:id="2"/>
            <w:r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格力电器是一家多元化、科技型的全球工业集团，产品覆盖家用消费品和工业装备两大领域，包括家用空调、暖通空调、冰箱、洗衣机、热水器、厨房电器、环境电器、通讯产品、智能楼宇、智能家居在内的消费领域；包括高端装备、精密模具、冷冻冷藏设备、电机、压缩机、电容、半导体器件、精密铸造、基础材料、工业储能、再生资源在内的工业领域。</w:t>
            </w:r>
          </w:p>
        </w:tc>
      </w:tr>
      <w:bookmarkEnd w:id="0"/>
      <w:tr w:rsidR="00A11C86" w:rsidRPr="001C7765">
        <w:trPr>
          <w:trHeight w:val="404"/>
        </w:trPr>
        <w:tc>
          <w:tcPr>
            <w:tcW w:w="1809" w:type="dxa"/>
            <w:vMerge/>
            <w:shd w:val="clear" w:color="auto" w:fill="D9D9D9"/>
            <w:vAlign w:val="center"/>
          </w:tcPr>
          <w:p w:rsidR="00A11C86" w:rsidRPr="001C7765" w:rsidRDefault="00A11C86">
            <w:pPr>
              <w:spacing w:line="500" w:lineRule="exact"/>
              <w:jc w:val="center"/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96" w:type="dxa"/>
          </w:tcPr>
          <w:p w:rsidR="00A11C86" w:rsidRPr="001C7765" w:rsidRDefault="00A67940">
            <w:pPr>
              <w:spacing w:line="500" w:lineRule="exact"/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</w:pPr>
            <w:r w:rsidRPr="001C7765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2、</w:t>
            </w:r>
            <w:proofErr w:type="gramStart"/>
            <w:r w:rsidR="0025525C"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银隆新能源</w:t>
            </w:r>
            <w:proofErr w:type="gramEnd"/>
          </w:p>
        </w:tc>
        <w:tc>
          <w:tcPr>
            <w:tcW w:w="5153" w:type="dxa"/>
          </w:tcPr>
          <w:p w:rsidR="00A11C86" w:rsidRPr="001C7765" w:rsidRDefault="0025525C" w:rsidP="00872407">
            <w:pPr>
              <w:spacing w:line="500" w:lineRule="exact"/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</w:pPr>
            <w:proofErr w:type="gramStart"/>
            <w:r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银隆新能源</w:t>
            </w:r>
            <w:proofErr w:type="gramEnd"/>
            <w:r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成立于2009年，从事</w:t>
            </w:r>
            <w:r w:rsidRPr="001C7765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锂电池</w:t>
            </w:r>
            <w:r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、</w:t>
            </w:r>
            <w:r w:rsidRPr="001C7765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新能源汽车整车制造的研发</w:t>
            </w:r>
            <w:r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、</w:t>
            </w:r>
            <w:r w:rsidRPr="001C7765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制造和销售</w:t>
            </w:r>
            <w:r w:rsidRPr="001C776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A11C86" w:rsidRPr="001C7765">
        <w:trPr>
          <w:trHeight w:val="279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:rsidR="00A11C86" w:rsidRPr="001C7765" w:rsidRDefault="00A67940">
            <w:pPr>
              <w:spacing w:line="500" w:lineRule="exact"/>
              <w:jc w:val="center"/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</w:pPr>
            <w:r w:rsidRPr="001C7765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6949" w:type="dxa"/>
            <w:gridSpan w:val="2"/>
          </w:tcPr>
          <w:p w:rsidR="00A11C86" w:rsidRPr="001C7765" w:rsidRDefault="00442269">
            <w:pPr>
              <w:spacing w:line="500" w:lineRule="exact"/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</w:pPr>
            <w:r w:rsidRPr="001C7765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sym w:font="Wingdings" w:char="F0A8"/>
            </w:r>
            <w:r w:rsidR="00A67940" w:rsidRPr="001C7765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1.在同一相关市场，所有参与集中的经营者所占市场份额之和小于15%。</w:t>
            </w:r>
          </w:p>
        </w:tc>
      </w:tr>
      <w:tr w:rsidR="00A11C86" w:rsidRPr="001C7765">
        <w:trPr>
          <w:trHeight w:val="330"/>
        </w:trPr>
        <w:tc>
          <w:tcPr>
            <w:tcW w:w="1809" w:type="dxa"/>
            <w:vMerge/>
            <w:shd w:val="clear" w:color="auto" w:fill="D9D9D9"/>
            <w:vAlign w:val="center"/>
          </w:tcPr>
          <w:p w:rsidR="00A11C86" w:rsidRPr="001C7765" w:rsidRDefault="00A11C86">
            <w:pPr>
              <w:spacing w:line="500" w:lineRule="exact"/>
              <w:jc w:val="center"/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:rsidR="00A11C86" w:rsidRPr="001C7765" w:rsidRDefault="0025525C">
            <w:pPr>
              <w:spacing w:line="500" w:lineRule="exact"/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</w:pPr>
            <w:r w:rsidRPr="001C7765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sym w:font="Wingdings" w:char="F0FE"/>
            </w:r>
            <w:r w:rsidR="00A67940" w:rsidRPr="001C7765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2.存在上下游关系的参与集中的经营者，在上下游市场所占的市场份额均小于25%。</w:t>
            </w:r>
          </w:p>
        </w:tc>
      </w:tr>
      <w:tr w:rsidR="00A11C86" w:rsidRPr="001C7765">
        <w:trPr>
          <w:trHeight w:val="285"/>
        </w:trPr>
        <w:tc>
          <w:tcPr>
            <w:tcW w:w="1809" w:type="dxa"/>
            <w:vMerge/>
            <w:shd w:val="clear" w:color="auto" w:fill="D9D9D9"/>
            <w:vAlign w:val="center"/>
          </w:tcPr>
          <w:p w:rsidR="00A11C86" w:rsidRPr="001C7765" w:rsidRDefault="00A11C86">
            <w:pPr>
              <w:spacing w:line="500" w:lineRule="exact"/>
              <w:jc w:val="center"/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:rsidR="00A11C86" w:rsidRPr="001C7765" w:rsidRDefault="00CB7A04">
            <w:pPr>
              <w:spacing w:line="500" w:lineRule="exact"/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</w:pPr>
            <w:r w:rsidRPr="001C7765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sym w:font="Wingdings" w:char="F0FE"/>
            </w:r>
            <w:r w:rsidR="00A67940" w:rsidRPr="001C7765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3.不在同一相关市场、也不存在上下游关系的参与集中的经营者，在与交易有关的每个市场所占的份额均小于25%。</w:t>
            </w:r>
          </w:p>
        </w:tc>
      </w:tr>
      <w:tr w:rsidR="00A11C86" w:rsidRPr="001C7765">
        <w:trPr>
          <w:trHeight w:val="870"/>
        </w:trPr>
        <w:tc>
          <w:tcPr>
            <w:tcW w:w="1809" w:type="dxa"/>
            <w:vMerge/>
            <w:shd w:val="clear" w:color="auto" w:fill="D9D9D9"/>
            <w:vAlign w:val="center"/>
          </w:tcPr>
          <w:p w:rsidR="00A11C86" w:rsidRPr="001C7765" w:rsidRDefault="00A11C86">
            <w:pPr>
              <w:spacing w:line="500" w:lineRule="exact"/>
              <w:jc w:val="center"/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:rsidR="00A11C86" w:rsidRPr="001C7765" w:rsidRDefault="00A67940">
            <w:pPr>
              <w:spacing w:line="500" w:lineRule="exact"/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</w:pPr>
            <w:r w:rsidRPr="001C7765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sym w:font="Wingdings" w:char="F0A8"/>
            </w:r>
            <w:r w:rsidRPr="001C7765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4.参与集中的经营者在中国境外设立合营企业，合营企业不在中国境内从事经济活动。</w:t>
            </w:r>
          </w:p>
        </w:tc>
      </w:tr>
      <w:tr w:rsidR="00A11C86" w:rsidRPr="001C7765">
        <w:trPr>
          <w:trHeight w:val="264"/>
        </w:trPr>
        <w:tc>
          <w:tcPr>
            <w:tcW w:w="1809" w:type="dxa"/>
            <w:vMerge/>
            <w:shd w:val="clear" w:color="auto" w:fill="D9D9D9"/>
            <w:vAlign w:val="center"/>
          </w:tcPr>
          <w:p w:rsidR="00A11C86" w:rsidRPr="001C7765" w:rsidRDefault="00A11C86">
            <w:pPr>
              <w:spacing w:line="500" w:lineRule="exact"/>
              <w:jc w:val="center"/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:rsidR="00A11C86" w:rsidRPr="001C7765" w:rsidRDefault="00A67940">
            <w:pPr>
              <w:spacing w:line="500" w:lineRule="exact"/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</w:pPr>
            <w:r w:rsidRPr="001C7765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sym w:font="Wingdings" w:char="F0A8"/>
            </w:r>
            <w:r w:rsidRPr="001C7765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5.参与集中的经营者收购境外企业股权或资产的，该境外企业不在中国境内从事经济活动。</w:t>
            </w:r>
          </w:p>
        </w:tc>
      </w:tr>
      <w:tr w:rsidR="00A11C86" w:rsidRPr="001C7765">
        <w:trPr>
          <w:trHeight w:val="345"/>
        </w:trPr>
        <w:tc>
          <w:tcPr>
            <w:tcW w:w="1809" w:type="dxa"/>
            <w:vMerge/>
            <w:shd w:val="clear" w:color="auto" w:fill="D9D9D9"/>
            <w:vAlign w:val="center"/>
          </w:tcPr>
          <w:p w:rsidR="00A11C86" w:rsidRPr="001C7765" w:rsidRDefault="00A11C86">
            <w:pPr>
              <w:spacing w:line="500" w:lineRule="exact"/>
              <w:jc w:val="center"/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:rsidR="00A11C86" w:rsidRPr="001C7765" w:rsidRDefault="00A67940">
            <w:pPr>
              <w:spacing w:line="500" w:lineRule="exact"/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</w:pPr>
            <w:r w:rsidRPr="001C7765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sym w:font="Wingdings" w:char="F0A8"/>
            </w:r>
            <w:r w:rsidRPr="001C7765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6.由两个以上的经营者共同控制的合营企业，通过集中被其中一个或一个以上经营者控制。</w:t>
            </w:r>
          </w:p>
        </w:tc>
      </w:tr>
      <w:tr w:rsidR="00A11C86" w:rsidRPr="001C7765">
        <w:tc>
          <w:tcPr>
            <w:tcW w:w="1809" w:type="dxa"/>
            <w:shd w:val="clear" w:color="auto" w:fill="D9D9D9"/>
            <w:vAlign w:val="center"/>
          </w:tcPr>
          <w:p w:rsidR="00A11C86" w:rsidRPr="001C7765" w:rsidRDefault="00A67940">
            <w:pPr>
              <w:spacing w:line="500" w:lineRule="exact"/>
              <w:jc w:val="center"/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</w:pPr>
            <w:r w:rsidRPr="001C7765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6949" w:type="dxa"/>
            <w:gridSpan w:val="2"/>
          </w:tcPr>
          <w:p w:rsidR="00CB7A04" w:rsidRDefault="00CB7A04" w:rsidP="00D45DBF">
            <w:pPr>
              <w:spacing w:line="500" w:lineRule="exact"/>
              <w:rPr>
                <w:rFonts w:ascii="仿宋" w:eastAsia="仿宋" w:hAnsi="仿宋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第一组上下游市场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2126"/>
              <w:gridCol w:w="1418"/>
              <w:gridCol w:w="1275"/>
              <w:gridCol w:w="1161"/>
            </w:tblGrid>
            <w:tr w:rsidR="00ED5457" w:rsidTr="00ED5457">
              <w:tc>
                <w:tcPr>
                  <w:tcW w:w="738" w:type="dxa"/>
                </w:tcPr>
                <w:p w:rsidR="00CB7A04" w:rsidRPr="00ED5457" w:rsidRDefault="00CB7A04" w:rsidP="00D45DBF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</w:p>
              </w:tc>
              <w:tc>
                <w:tcPr>
                  <w:tcW w:w="2126" w:type="dxa"/>
                </w:tcPr>
                <w:p w:rsidR="00CB7A04" w:rsidRPr="00ED5457" w:rsidRDefault="00CB7A04" w:rsidP="00D45DBF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产品市场</w:t>
                  </w:r>
                </w:p>
              </w:tc>
              <w:tc>
                <w:tcPr>
                  <w:tcW w:w="1418" w:type="dxa"/>
                </w:tcPr>
                <w:p w:rsidR="00CB7A04" w:rsidRPr="00ED5457" w:rsidRDefault="00CB7A04" w:rsidP="00D45DBF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地域市场</w:t>
                  </w:r>
                </w:p>
              </w:tc>
              <w:tc>
                <w:tcPr>
                  <w:tcW w:w="1275" w:type="dxa"/>
                </w:tcPr>
                <w:p w:rsidR="00CB7A04" w:rsidRPr="00ED5457" w:rsidRDefault="00ED5457" w:rsidP="00D45DBF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经营者</w:t>
                  </w:r>
                </w:p>
              </w:tc>
              <w:tc>
                <w:tcPr>
                  <w:tcW w:w="1161" w:type="dxa"/>
                </w:tcPr>
                <w:p w:rsidR="00CB7A04" w:rsidRPr="00ED5457" w:rsidRDefault="00ED5457" w:rsidP="00D45DBF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市场份额</w:t>
                  </w:r>
                </w:p>
              </w:tc>
            </w:tr>
            <w:tr w:rsidR="00ED5457" w:rsidTr="00ED5457">
              <w:tc>
                <w:tcPr>
                  <w:tcW w:w="738" w:type="dxa"/>
                  <w:vMerge w:val="restart"/>
                </w:tcPr>
                <w:p w:rsidR="00ED5457" w:rsidRPr="00ED5457" w:rsidRDefault="00ED5457" w:rsidP="00D45DBF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上游</w:t>
                  </w:r>
                </w:p>
              </w:tc>
              <w:tc>
                <w:tcPr>
                  <w:tcW w:w="2126" w:type="dxa"/>
                </w:tcPr>
                <w:p w:rsidR="00ED5457" w:rsidRPr="00ED5457" w:rsidRDefault="00ED5457" w:rsidP="00D45DBF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新能源客车空调系统</w:t>
                  </w:r>
                </w:p>
              </w:tc>
              <w:tc>
                <w:tcPr>
                  <w:tcW w:w="1418" w:type="dxa"/>
                </w:tcPr>
                <w:p w:rsidR="00ED5457" w:rsidRPr="00ED5457" w:rsidRDefault="00ED5457" w:rsidP="00D45DBF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中国境内</w:t>
                  </w:r>
                </w:p>
              </w:tc>
              <w:tc>
                <w:tcPr>
                  <w:tcW w:w="1275" w:type="dxa"/>
                </w:tcPr>
                <w:p w:rsidR="00ED5457" w:rsidRPr="00ED5457" w:rsidRDefault="00ED5457" w:rsidP="00D45DBF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格力电器</w:t>
                  </w:r>
                </w:p>
              </w:tc>
              <w:tc>
                <w:tcPr>
                  <w:tcW w:w="1161" w:type="dxa"/>
                </w:tcPr>
                <w:p w:rsidR="00ED5457" w:rsidRPr="00ED5457" w:rsidRDefault="00ED5457" w:rsidP="00D45DBF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[</w:t>
                  </w:r>
                  <w:r w:rsidRPr="00ED5457"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0-5]</w:t>
                  </w: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%</w:t>
                  </w:r>
                </w:p>
              </w:tc>
            </w:tr>
            <w:tr w:rsidR="00ED5457" w:rsidTr="00ED5457">
              <w:tc>
                <w:tcPr>
                  <w:tcW w:w="738" w:type="dxa"/>
                  <w:vMerge/>
                </w:tcPr>
                <w:p w:rsidR="00ED5457" w:rsidRPr="00ED5457" w:rsidRDefault="00ED5457" w:rsidP="00D45DBF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</w:p>
              </w:tc>
              <w:tc>
                <w:tcPr>
                  <w:tcW w:w="2126" w:type="dxa"/>
                </w:tcPr>
                <w:p w:rsidR="00ED5457" w:rsidRPr="00ED5457" w:rsidRDefault="00ED5457" w:rsidP="00D45DBF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新能源商用车电动机</w:t>
                  </w:r>
                </w:p>
              </w:tc>
              <w:tc>
                <w:tcPr>
                  <w:tcW w:w="1418" w:type="dxa"/>
                </w:tcPr>
                <w:p w:rsidR="00ED5457" w:rsidRPr="00ED5457" w:rsidRDefault="00ED5457" w:rsidP="00D45DBF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中国境内</w:t>
                  </w:r>
                </w:p>
              </w:tc>
              <w:tc>
                <w:tcPr>
                  <w:tcW w:w="1275" w:type="dxa"/>
                </w:tcPr>
                <w:p w:rsidR="00ED5457" w:rsidRPr="00ED5457" w:rsidRDefault="00ED5457" w:rsidP="00D45DBF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格力电器</w:t>
                  </w:r>
                </w:p>
              </w:tc>
              <w:tc>
                <w:tcPr>
                  <w:tcW w:w="1161" w:type="dxa"/>
                </w:tcPr>
                <w:p w:rsidR="00ED5457" w:rsidRPr="00ED5457" w:rsidRDefault="00ED5457" w:rsidP="000A12F9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[</w:t>
                  </w:r>
                  <w:r w:rsidRPr="00ED5457"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0-5]</w:t>
                  </w: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%</w:t>
                  </w:r>
                </w:p>
              </w:tc>
            </w:tr>
            <w:tr w:rsidR="00ED5457" w:rsidTr="00ED5457">
              <w:tc>
                <w:tcPr>
                  <w:tcW w:w="738" w:type="dxa"/>
                  <w:vMerge/>
                </w:tcPr>
                <w:p w:rsidR="00ED5457" w:rsidRPr="00ED5457" w:rsidRDefault="00ED5457" w:rsidP="00D45DBF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</w:p>
              </w:tc>
              <w:tc>
                <w:tcPr>
                  <w:tcW w:w="2126" w:type="dxa"/>
                </w:tcPr>
                <w:p w:rsidR="00ED5457" w:rsidRPr="00ED5457" w:rsidRDefault="00ED5457" w:rsidP="00D45DBF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新能源商用车控制器</w:t>
                  </w:r>
                </w:p>
              </w:tc>
              <w:tc>
                <w:tcPr>
                  <w:tcW w:w="1418" w:type="dxa"/>
                </w:tcPr>
                <w:p w:rsidR="00ED5457" w:rsidRPr="00ED5457" w:rsidRDefault="00ED5457" w:rsidP="00D45DBF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中国境内</w:t>
                  </w:r>
                </w:p>
              </w:tc>
              <w:tc>
                <w:tcPr>
                  <w:tcW w:w="1275" w:type="dxa"/>
                </w:tcPr>
                <w:p w:rsidR="00ED5457" w:rsidRPr="00ED5457" w:rsidRDefault="00ED5457" w:rsidP="00D45DBF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格力电器</w:t>
                  </w:r>
                </w:p>
              </w:tc>
              <w:tc>
                <w:tcPr>
                  <w:tcW w:w="1161" w:type="dxa"/>
                </w:tcPr>
                <w:p w:rsidR="00ED5457" w:rsidRPr="00ED5457" w:rsidRDefault="00ED5457" w:rsidP="000A12F9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[</w:t>
                  </w:r>
                  <w:r w:rsidRPr="00ED5457"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0-5]</w:t>
                  </w: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%</w:t>
                  </w:r>
                </w:p>
              </w:tc>
            </w:tr>
            <w:tr w:rsidR="00ED5457" w:rsidTr="00ED5457">
              <w:tc>
                <w:tcPr>
                  <w:tcW w:w="738" w:type="dxa"/>
                </w:tcPr>
                <w:p w:rsidR="00ED5457" w:rsidRPr="00ED5457" w:rsidRDefault="00ED5457" w:rsidP="00D45DBF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下游</w:t>
                  </w:r>
                </w:p>
              </w:tc>
              <w:tc>
                <w:tcPr>
                  <w:tcW w:w="2126" w:type="dxa"/>
                </w:tcPr>
                <w:p w:rsidR="00ED5457" w:rsidRPr="00ED5457" w:rsidRDefault="00ED5457" w:rsidP="00D45DBF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新能源商用车</w:t>
                  </w:r>
                </w:p>
              </w:tc>
              <w:tc>
                <w:tcPr>
                  <w:tcW w:w="1418" w:type="dxa"/>
                </w:tcPr>
                <w:p w:rsidR="00ED5457" w:rsidRPr="00ED5457" w:rsidRDefault="00ED5457" w:rsidP="00D45DBF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中国境内</w:t>
                  </w:r>
                </w:p>
              </w:tc>
              <w:tc>
                <w:tcPr>
                  <w:tcW w:w="1275" w:type="dxa"/>
                </w:tcPr>
                <w:p w:rsidR="00ED5457" w:rsidRPr="00ED5457" w:rsidRDefault="00ED5457" w:rsidP="00D45DBF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proofErr w:type="gramStart"/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银隆新能源</w:t>
                  </w:r>
                  <w:proofErr w:type="gramEnd"/>
                </w:p>
              </w:tc>
              <w:tc>
                <w:tcPr>
                  <w:tcW w:w="1161" w:type="dxa"/>
                </w:tcPr>
                <w:p w:rsidR="00ED5457" w:rsidRPr="00ED5457" w:rsidRDefault="00ED5457" w:rsidP="000A12F9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[</w:t>
                  </w:r>
                  <w:r w:rsidRPr="00ED5457"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0-5]</w:t>
                  </w: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%</w:t>
                  </w:r>
                </w:p>
              </w:tc>
            </w:tr>
          </w:tbl>
          <w:p w:rsidR="00CB7A04" w:rsidRDefault="00CB7A04" w:rsidP="00D45DBF">
            <w:pPr>
              <w:spacing w:line="500" w:lineRule="exact"/>
              <w:rPr>
                <w:rFonts w:ascii="仿宋" w:eastAsia="仿宋" w:hAnsi="仿宋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CB7A04" w:rsidRDefault="00ED5457" w:rsidP="00D45DBF">
            <w:pPr>
              <w:spacing w:line="500" w:lineRule="exact"/>
              <w:rPr>
                <w:rFonts w:ascii="仿宋" w:eastAsia="仿宋" w:hAnsi="仿宋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第二组上下游市场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2126"/>
              <w:gridCol w:w="1418"/>
              <w:gridCol w:w="1275"/>
              <w:gridCol w:w="1161"/>
            </w:tblGrid>
            <w:tr w:rsidR="00ED5457" w:rsidTr="00ED5457">
              <w:tc>
                <w:tcPr>
                  <w:tcW w:w="738" w:type="dxa"/>
                </w:tcPr>
                <w:p w:rsidR="00ED5457" w:rsidRPr="00ED5457" w:rsidRDefault="00ED5457" w:rsidP="000A12F9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</w:p>
              </w:tc>
              <w:tc>
                <w:tcPr>
                  <w:tcW w:w="2126" w:type="dxa"/>
                </w:tcPr>
                <w:p w:rsidR="00ED5457" w:rsidRPr="00ED5457" w:rsidRDefault="00ED5457" w:rsidP="000A12F9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产品市场</w:t>
                  </w:r>
                </w:p>
              </w:tc>
              <w:tc>
                <w:tcPr>
                  <w:tcW w:w="1418" w:type="dxa"/>
                </w:tcPr>
                <w:p w:rsidR="00ED5457" w:rsidRPr="00ED5457" w:rsidRDefault="00ED5457" w:rsidP="000A12F9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地域市场</w:t>
                  </w:r>
                </w:p>
              </w:tc>
              <w:tc>
                <w:tcPr>
                  <w:tcW w:w="1275" w:type="dxa"/>
                </w:tcPr>
                <w:p w:rsidR="00ED5457" w:rsidRPr="00ED5457" w:rsidRDefault="00ED5457" w:rsidP="000A12F9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经营者</w:t>
                  </w:r>
                </w:p>
              </w:tc>
              <w:tc>
                <w:tcPr>
                  <w:tcW w:w="1161" w:type="dxa"/>
                </w:tcPr>
                <w:p w:rsidR="00ED5457" w:rsidRPr="00ED5457" w:rsidRDefault="00ED5457" w:rsidP="000A12F9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市场份额</w:t>
                  </w:r>
                </w:p>
              </w:tc>
            </w:tr>
            <w:tr w:rsidR="00ED5457" w:rsidTr="00ED5457">
              <w:tc>
                <w:tcPr>
                  <w:tcW w:w="738" w:type="dxa"/>
                </w:tcPr>
                <w:p w:rsidR="00ED5457" w:rsidRPr="00ED5457" w:rsidRDefault="00ED5457" w:rsidP="000A12F9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上游</w:t>
                  </w:r>
                </w:p>
              </w:tc>
              <w:tc>
                <w:tcPr>
                  <w:tcW w:w="2126" w:type="dxa"/>
                </w:tcPr>
                <w:p w:rsidR="00ED5457" w:rsidRPr="00ED5457" w:rsidRDefault="00ED5457" w:rsidP="000A12F9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储能锂电池</w:t>
                  </w:r>
                </w:p>
              </w:tc>
              <w:tc>
                <w:tcPr>
                  <w:tcW w:w="1418" w:type="dxa"/>
                </w:tcPr>
                <w:p w:rsidR="00ED5457" w:rsidRPr="00ED5457" w:rsidRDefault="00ED5457" w:rsidP="000A12F9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全球</w:t>
                  </w:r>
                </w:p>
              </w:tc>
              <w:tc>
                <w:tcPr>
                  <w:tcW w:w="1275" w:type="dxa"/>
                </w:tcPr>
                <w:p w:rsidR="00ED5457" w:rsidRPr="00ED5457" w:rsidRDefault="00ED5457" w:rsidP="000A12F9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proofErr w:type="gramStart"/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银隆新能源</w:t>
                  </w:r>
                  <w:proofErr w:type="gramEnd"/>
                </w:p>
              </w:tc>
              <w:tc>
                <w:tcPr>
                  <w:tcW w:w="1161" w:type="dxa"/>
                </w:tcPr>
                <w:p w:rsidR="00ED5457" w:rsidRPr="00ED5457" w:rsidRDefault="00ED5457" w:rsidP="000A12F9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[</w:t>
                  </w:r>
                  <w:r w:rsidRPr="00ED5457"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0-5]</w:t>
                  </w: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%</w:t>
                  </w:r>
                </w:p>
              </w:tc>
            </w:tr>
            <w:tr w:rsidR="00ED5457" w:rsidTr="00ED5457">
              <w:tc>
                <w:tcPr>
                  <w:tcW w:w="738" w:type="dxa"/>
                </w:tcPr>
                <w:p w:rsidR="00ED5457" w:rsidRPr="00ED5457" w:rsidRDefault="00ED5457" w:rsidP="000A12F9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下游</w:t>
                  </w:r>
                </w:p>
              </w:tc>
              <w:tc>
                <w:tcPr>
                  <w:tcW w:w="2126" w:type="dxa"/>
                </w:tcPr>
                <w:p w:rsidR="00ED5457" w:rsidRPr="00ED5457" w:rsidRDefault="00ED5457" w:rsidP="000A12F9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电力</w:t>
                  </w:r>
                  <w:r w:rsidR="00963D13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系统用</w:t>
                  </w:r>
                  <w:r w:rsidR="00367B3C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锂电</w:t>
                  </w: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储能系统集成</w:t>
                  </w:r>
                </w:p>
              </w:tc>
              <w:tc>
                <w:tcPr>
                  <w:tcW w:w="1418" w:type="dxa"/>
                </w:tcPr>
                <w:p w:rsidR="00ED5457" w:rsidRPr="00ED5457" w:rsidRDefault="00ED5457" w:rsidP="000A12F9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中国境内</w:t>
                  </w:r>
                </w:p>
              </w:tc>
              <w:tc>
                <w:tcPr>
                  <w:tcW w:w="1275" w:type="dxa"/>
                </w:tcPr>
                <w:p w:rsidR="00ED5457" w:rsidRPr="00ED5457" w:rsidRDefault="005708B5" w:rsidP="000A12F9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格力电器</w:t>
                  </w:r>
                </w:p>
              </w:tc>
              <w:tc>
                <w:tcPr>
                  <w:tcW w:w="1161" w:type="dxa"/>
                </w:tcPr>
                <w:p w:rsidR="00ED5457" w:rsidRPr="00ED5457" w:rsidRDefault="00ED5457" w:rsidP="000A12F9">
                  <w:pPr>
                    <w:spacing w:line="500" w:lineRule="exact"/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</w:pP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[</w:t>
                  </w:r>
                  <w:r w:rsidRPr="00ED5457">
                    <w:rPr>
                      <w:rFonts w:ascii="仿宋" w:eastAsia="仿宋" w:hAnsi="仿宋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0-5]</w:t>
                  </w:r>
                  <w:r w:rsidRPr="00ED5457">
                    <w:rPr>
                      <w:rFonts w:ascii="仿宋" w:eastAsia="仿宋" w:hAnsi="仿宋" w:hint="eastAsia"/>
                      <w:color w:val="333333"/>
                      <w:kern w:val="0"/>
                      <w:szCs w:val="21"/>
                      <w:bdr w:val="none" w:sz="0" w:space="0" w:color="auto" w:frame="1"/>
                    </w:rPr>
                    <w:t>%</w:t>
                  </w:r>
                </w:p>
              </w:tc>
            </w:tr>
          </w:tbl>
          <w:p w:rsidR="00CB7A04" w:rsidRDefault="00CB7A04" w:rsidP="00D45DBF">
            <w:pPr>
              <w:spacing w:line="500" w:lineRule="exact"/>
              <w:rPr>
                <w:rFonts w:ascii="仿宋" w:eastAsia="仿宋" w:hAnsi="仿宋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7C1697" w:rsidRDefault="007C1697" w:rsidP="00D45DBF">
            <w:pPr>
              <w:spacing w:line="500" w:lineRule="exact"/>
              <w:rPr>
                <w:rFonts w:ascii="仿宋" w:eastAsia="仿宋" w:hAnsi="仿宋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其他</w:t>
            </w:r>
          </w:p>
          <w:p w:rsidR="00CB7A04" w:rsidRPr="0083521C" w:rsidRDefault="007C1697" w:rsidP="0083521C">
            <w:pPr>
              <w:spacing w:line="500" w:lineRule="exact"/>
              <w:rPr>
                <w:rFonts w:ascii="仿宋" w:eastAsia="仿宋" w:hAnsi="仿宋"/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全球动力锂电池</w:t>
            </w:r>
            <w:bookmarkStart w:id="3" w:name="_GoBack"/>
            <w:bookmarkEnd w:id="3"/>
            <w:r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市场：</w:t>
            </w:r>
            <w:proofErr w:type="gramStart"/>
            <w:r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银隆新能源</w:t>
            </w:r>
            <w:proofErr w:type="gramEnd"/>
            <w:r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D5457">
              <w:rPr>
                <w:rFonts w:ascii="仿宋" w:eastAsia="仿宋" w:hAnsi="仿宋" w:hint="eastAsia"/>
                <w:color w:val="333333"/>
                <w:kern w:val="0"/>
                <w:szCs w:val="21"/>
                <w:bdr w:val="none" w:sz="0" w:space="0" w:color="auto" w:frame="1"/>
              </w:rPr>
              <w:t>[</w:t>
            </w:r>
            <w:r w:rsidRPr="00ED5457">
              <w:rPr>
                <w:rFonts w:ascii="仿宋" w:eastAsia="仿宋" w:hAnsi="仿宋"/>
                <w:color w:val="333333"/>
                <w:kern w:val="0"/>
                <w:szCs w:val="21"/>
                <w:bdr w:val="none" w:sz="0" w:space="0" w:color="auto" w:frame="1"/>
              </w:rPr>
              <w:t>0-5]</w:t>
            </w:r>
            <w:r w:rsidRPr="00ED5457">
              <w:rPr>
                <w:rFonts w:ascii="仿宋" w:eastAsia="仿宋" w:hAnsi="仿宋" w:hint="eastAsia"/>
                <w:color w:val="333333"/>
                <w:kern w:val="0"/>
                <w:szCs w:val="21"/>
                <w:bdr w:val="none" w:sz="0" w:space="0" w:color="auto" w:frame="1"/>
              </w:rPr>
              <w:t>%</w:t>
            </w:r>
            <w:r w:rsidR="0083521C">
              <w:rPr>
                <w:rFonts w:ascii="仿宋" w:eastAsia="仿宋" w:hAnsi="仿宋" w:hint="eastAsia"/>
                <w:color w:val="333333"/>
                <w:kern w:val="0"/>
                <w:szCs w:val="21"/>
                <w:bdr w:val="none" w:sz="0" w:space="0" w:color="auto" w:frame="1"/>
              </w:rPr>
              <w:t>、</w:t>
            </w:r>
            <w:r w:rsidR="0083521C" w:rsidRPr="0083521C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格力电器0%</w:t>
            </w:r>
          </w:p>
          <w:p w:rsidR="007C1697" w:rsidRPr="001134FA" w:rsidRDefault="007C1697" w:rsidP="007C1697">
            <w:pPr>
              <w:spacing w:line="500" w:lineRule="exact"/>
              <w:rPr>
                <w:rFonts w:ascii="仿宋" w:eastAsia="仿宋" w:hAnsi="仿宋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A11C86" w:rsidRPr="001C7765" w:rsidRDefault="00A11C86">
      <w:pPr>
        <w:snapToGrid w:val="0"/>
        <w:spacing w:line="240" w:lineRule="exact"/>
        <w:jc w:val="left"/>
        <w:rPr>
          <w:rFonts w:ascii="仿宋" w:eastAsia="仿宋" w:hAnsi="仿宋"/>
          <w:sz w:val="24"/>
          <w:szCs w:val="24"/>
        </w:rPr>
      </w:pPr>
    </w:p>
    <w:p w:rsidR="00A11C86" w:rsidRPr="001C7765" w:rsidRDefault="00A67940">
      <w:pPr>
        <w:snapToGrid w:val="0"/>
        <w:spacing w:line="240" w:lineRule="exact"/>
        <w:jc w:val="left"/>
        <w:rPr>
          <w:rFonts w:ascii="仿宋" w:eastAsia="仿宋" w:hAnsi="仿宋"/>
          <w:sz w:val="24"/>
          <w:szCs w:val="24"/>
        </w:rPr>
      </w:pPr>
      <w:r w:rsidRPr="001C7765">
        <w:rPr>
          <w:rFonts w:ascii="仿宋" w:eastAsia="仿宋" w:hAnsi="仿宋"/>
          <w:sz w:val="24"/>
          <w:szCs w:val="24"/>
        </w:rPr>
        <w:t>注解：</w:t>
      </w:r>
    </w:p>
    <w:p w:rsidR="00A11C86" w:rsidRPr="001C7765" w:rsidRDefault="00A67940">
      <w:pPr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1C7765">
        <w:rPr>
          <w:rFonts w:ascii="仿宋" w:eastAsia="仿宋" w:hAnsi="仿宋"/>
          <w:sz w:val="24"/>
          <w:szCs w:val="24"/>
        </w:rPr>
        <w:t>1.申报方申请简易案件的理由是基于1-3项时，须在备注中说明界定的相关商品市场和相关地域市场（无须阐述界定理由），以及相关市场份额；市场份额可以区间形式提供，区间幅度不应超过5%。1-3项可以多选，也可单选；</w:t>
      </w:r>
      <w:proofErr w:type="gramStart"/>
      <w:r w:rsidRPr="001C7765">
        <w:rPr>
          <w:rFonts w:ascii="仿宋" w:eastAsia="仿宋" w:hAnsi="仿宋"/>
          <w:sz w:val="24"/>
          <w:szCs w:val="24"/>
        </w:rPr>
        <w:t>没有勾</w:t>
      </w:r>
      <w:r w:rsidRPr="001C7765">
        <w:rPr>
          <w:rFonts w:ascii="仿宋" w:eastAsia="仿宋" w:hAnsi="仿宋"/>
          <w:sz w:val="24"/>
          <w:szCs w:val="24"/>
        </w:rPr>
        <w:lastRenderedPageBreak/>
        <w:t>选的</w:t>
      </w:r>
      <w:proofErr w:type="gramEnd"/>
      <w:r w:rsidRPr="001C7765">
        <w:rPr>
          <w:rFonts w:ascii="仿宋" w:eastAsia="仿宋" w:hAnsi="仿宋"/>
          <w:sz w:val="24"/>
          <w:szCs w:val="24"/>
        </w:rPr>
        <w:t>，视为本集中不涉及该类型交易。</w:t>
      </w:r>
    </w:p>
    <w:p w:rsidR="00A11C86" w:rsidRPr="001C7765" w:rsidRDefault="00A67940">
      <w:pPr>
        <w:spacing w:line="360" w:lineRule="auto"/>
        <w:ind w:firstLineChars="200" w:firstLine="480"/>
        <w:rPr>
          <w:rFonts w:ascii="仿宋" w:eastAsia="仿宋" w:hAnsi="仿宋"/>
          <w:sz w:val="28"/>
          <w:szCs w:val="28"/>
        </w:rPr>
      </w:pPr>
      <w:r w:rsidRPr="001C7765">
        <w:rPr>
          <w:rFonts w:ascii="仿宋" w:eastAsia="仿宋" w:hAnsi="仿宋"/>
          <w:sz w:val="24"/>
          <w:szCs w:val="24"/>
        </w:rPr>
        <w:t>2.申报方申请简易案件的理由是基于第4项、第5项时，无须在备注中说明相关市场和市场份额。</w:t>
      </w:r>
      <w:r w:rsidRPr="001C7765">
        <w:rPr>
          <w:rFonts w:ascii="仿宋" w:eastAsia="仿宋" w:hAnsi="仿宋"/>
          <w:sz w:val="24"/>
          <w:szCs w:val="24"/>
        </w:rPr>
        <w:br/>
        <w:t xml:space="preserve">    3.由两个或两个以上经营者共同控制的合营企业，通过集中被其中的一个经营者控制，如果该经营者与合营企业属于同一相关市场的竞争者，则申报方在申请简易案件时，须</w:t>
      </w:r>
      <w:proofErr w:type="gramStart"/>
      <w:r w:rsidRPr="001C7765">
        <w:rPr>
          <w:rFonts w:ascii="仿宋" w:eastAsia="仿宋" w:hAnsi="仿宋"/>
          <w:sz w:val="24"/>
          <w:szCs w:val="24"/>
        </w:rPr>
        <w:t>同时勾选第1项</w:t>
      </w:r>
      <w:proofErr w:type="gramEnd"/>
      <w:r w:rsidRPr="001C7765">
        <w:rPr>
          <w:rFonts w:ascii="仿宋" w:eastAsia="仿宋" w:hAnsi="仿宋"/>
          <w:sz w:val="24"/>
          <w:szCs w:val="24"/>
        </w:rPr>
        <w:t>和第6项理由，并在备注中说明界定的相关商品市场和相关地域市场（无须阐述界定理由），以及相关市场份额。市场份额可以区间形式提供，区间幅度不应超过5%。</w:t>
      </w:r>
    </w:p>
    <w:p w:rsidR="00A11C86" w:rsidRPr="001C7765" w:rsidRDefault="00A11C86">
      <w:pPr>
        <w:rPr>
          <w:rFonts w:ascii="仿宋" w:eastAsia="仿宋" w:hAnsi="仿宋"/>
        </w:rPr>
      </w:pPr>
    </w:p>
    <w:p w:rsidR="00A11C86" w:rsidRPr="001C7765" w:rsidRDefault="00A11C86">
      <w:pPr>
        <w:rPr>
          <w:rFonts w:ascii="仿宋" w:eastAsia="仿宋" w:hAnsi="仿宋"/>
        </w:rPr>
      </w:pPr>
    </w:p>
    <w:sectPr w:rsidR="00A11C86" w:rsidRPr="001C7765" w:rsidSect="00076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523" w:rsidRDefault="00FE6523" w:rsidP="009269D5">
      <w:r>
        <w:separator/>
      </w:r>
    </w:p>
  </w:endnote>
  <w:endnote w:type="continuationSeparator" w:id="0">
    <w:p w:rsidR="00FE6523" w:rsidRDefault="00FE6523" w:rsidP="0092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523" w:rsidRDefault="00FE6523" w:rsidP="009269D5">
      <w:r>
        <w:separator/>
      </w:r>
    </w:p>
  </w:footnote>
  <w:footnote w:type="continuationSeparator" w:id="0">
    <w:p w:rsidR="00FE6523" w:rsidRDefault="00FE6523" w:rsidP="00926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235E2"/>
    <w:multiLevelType w:val="multilevel"/>
    <w:tmpl w:val="4B623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3B7CD4"/>
    <w:multiLevelType w:val="multilevel"/>
    <w:tmpl w:val="513B7CD4"/>
    <w:lvl w:ilvl="0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7D476E3A"/>
    <w:multiLevelType w:val="hybridMultilevel"/>
    <w:tmpl w:val="1E807B58"/>
    <w:lvl w:ilvl="0" w:tplc="E7B4AB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00DF"/>
    <w:rsid w:val="000146B1"/>
    <w:rsid w:val="00037065"/>
    <w:rsid w:val="00055880"/>
    <w:rsid w:val="00057A58"/>
    <w:rsid w:val="000769BE"/>
    <w:rsid w:val="00082FFC"/>
    <w:rsid w:val="000D7EBA"/>
    <w:rsid w:val="0010278F"/>
    <w:rsid w:val="001134FA"/>
    <w:rsid w:val="001164CD"/>
    <w:rsid w:val="00155717"/>
    <w:rsid w:val="001837A3"/>
    <w:rsid w:val="001C7765"/>
    <w:rsid w:val="00224534"/>
    <w:rsid w:val="0025525C"/>
    <w:rsid w:val="002859A4"/>
    <w:rsid w:val="002E12D1"/>
    <w:rsid w:val="00315AD4"/>
    <w:rsid w:val="00367B3C"/>
    <w:rsid w:val="00397EA8"/>
    <w:rsid w:val="003B28A8"/>
    <w:rsid w:val="003C0AEB"/>
    <w:rsid w:val="003C7902"/>
    <w:rsid w:val="003D5CDC"/>
    <w:rsid w:val="003F2222"/>
    <w:rsid w:val="003F46C1"/>
    <w:rsid w:val="00426CCC"/>
    <w:rsid w:val="00442269"/>
    <w:rsid w:val="0048068B"/>
    <w:rsid w:val="004E3114"/>
    <w:rsid w:val="004F16BA"/>
    <w:rsid w:val="004F7688"/>
    <w:rsid w:val="00534DED"/>
    <w:rsid w:val="005708B5"/>
    <w:rsid w:val="006311BB"/>
    <w:rsid w:val="006467D8"/>
    <w:rsid w:val="0066060E"/>
    <w:rsid w:val="006850CD"/>
    <w:rsid w:val="006A531B"/>
    <w:rsid w:val="006F7693"/>
    <w:rsid w:val="00710140"/>
    <w:rsid w:val="00743DED"/>
    <w:rsid w:val="007C1697"/>
    <w:rsid w:val="007D4682"/>
    <w:rsid w:val="007F2275"/>
    <w:rsid w:val="00822034"/>
    <w:rsid w:val="0083521C"/>
    <w:rsid w:val="008457A6"/>
    <w:rsid w:val="00861B66"/>
    <w:rsid w:val="00864FED"/>
    <w:rsid w:val="00866ED8"/>
    <w:rsid w:val="00872407"/>
    <w:rsid w:val="00880B2A"/>
    <w:rsid w:val="008A5AC2"/>
    <w:rsid w:val="008B26FF"/>
    <w:rsid w:val="008D1080"/>
    <w:rsid w:val="008E7453"/>
    <w:rsid w:val="00915F0F"/>
    <w:rsid w:val="009269D5"/>
    <w:rsid w:val="00952BB8"/>
    <w:rsid w:val="009532DF"/>
    <w:rsid w:val="00963D13"/>
    <w:rsid w:val="00997019"/>
    <w:rsid w:val="009A20B0"/>
    <w:rsid w:val="009A5029"/>
    <w:rsid w:val="009B675C"/>
    <w:rsid w:val="009D38D5"/>
    <w:rsid w:val="00A11C86"/>
    <w:rsid w:val="00A130C6"/>
    <w:rsid w:val="00A20437"/>
    <w:rsid w:val="00A53F26"/>
    <w:rsid w:val="00A67940"/>
    <w:rsid w:val="00AA0CC5"/>
    <w:rsid w:val="00AF6C5D"/>
    <w:rsid w:val="00B048CE"/>
    <w:rsid w:val="00B16AFE"/>
    <w:rsid w:val="00B51D50"/>
    <w:rsid w:val="00B65DD5"/>
    <w:rsid w:val="00B942DC"/>
    <w:rsid w:val="00BD10B6"/>
    <w:rsid w:val="00C07076"/>
    <w:rsid w:val="00C568AD"/>
    <w:rsid w:val="00CA30B3"/>
    <w:rsid w:val="00CB00DF"/>
    <w:rsid w:val="00CB72F2"/>
    <w:rsid w:val="00CB7A04"/>
    <w:rsid w:val="00CD3A18"/>
    <w:rsid w:val="00CF63C7"/>
    <w:rsid w:val="00D01704"/>
    <w:rsid w:val="00D45DBF"/>
    <w:rsid w:val="00D71885"/>
    <w:rsid w:val="00D73C72"/>
    <w:rsid w:val="00D77B46"/>
    <w:rsid w:val="00D93D4C"/>
    <w:rsid w:val="00DB78C4"/>
    <w:rsid w:val="00DC23AA"/>
    <w:rsid w:val="00E0592B"/>
    <w:rsid w:val="00E2771F"/>
    <w:rsid w:val="00E31738"/>
    <w:rsid w:val="00E86786"/>
    <w:rsid w:val="00EC0A0B"/>
    <w:rsid w:val="00ED2F80"/>
    <w:rsid w:val="00ED5457"/>
    <w:rsid w:val="00ED65EB"/>
    <w:rsid w:val="00F11A95"/>
    <w:rsid w:val="00F1624E"/>
    <w:rsid w:val="00F27ABF"/>
    <w:rsid w:val="00F32F8A"/>
    <w:rsid w:val="00F52F45"/>
    <w:rsid w:val="00F810AA"/>
    <w:rsid w:val="00F915A6"/>
    <w:rsid w:val="00F92A52"/>
    <w:rsid w:val="00FB43EC"/>
    <w:rsid w:val="00FB6B40"/>
    <w:rsid w:val="00FE6523"/>
    <w:rsid w:val="01C730BF"/>
    <w:rsid w:val="1A4B1EEC"/>
    <w:rsid w:val="33F1129C"/>
    <w:rsid w:val="3B702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B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9B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269D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269D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26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269D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26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269D5"/>
    <w:rPr>
      <w:rFonts w:ascii="Calibri" w:eastAsia="宋体" w:hAnsi="Calibri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1134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269D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269D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26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269D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26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269D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218</Words>
  <Characters>1247</Characters>
  <Application>Microsoft Office Word</Application>
  <DocSecurity>0</DocSecurity>
  <Lines>10</Lines>
  <Paragraphs>2</Paragraphs>
  <ScaleCrop>false</ScaleCrop>
  <Company>802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陈媚</dc:creator>
  <cp:lastModifiedBy>世泽殷律师</cp:lastModifiedBy>
  <cp:revision>11</cp:revision>
  <dcterms:created xsi:type="dcterms:W3CDTF">2021-10-07T12:54:00Z</dcterms:created>
  <dcterms:modified xsi:type="dcterms:W3CDTF">2021-10-08T11:35:00Z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A0F518BD0B284AC2A06D24CC772BB13B</vt:lpwstr>
  </property>
</Properties>
</file>