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黑体" w:hAnsi="Times New Roman" w:eastAsia="黑体"/>
          <w:sz w:val="30"/>
          <w:szCs w:val="30"/>
        </w:rPr>
      </w:pPr>
      <w:r>
        <w:rPr>
          <w:rFonts w:hint="eastAsia" w:ascii="黑体" w:hAnsi="Times New Roman" w:eastAsia="黑体"/>
          <w:sz w:val="30"/>
          <w:szCs w:val="30"/>
        </w:rPr>
        <w:t>经营者集中简易案件公示表</w:t>
      </w:r>
    </w:p>
    <w:p>
      <w:pPr>
        <w:spacing w:line="440" w:lineRule="exact"/>
        <w:rPr>
          <w:rFonts w:ascii="黑体" w:hAnsi="Times New Roman" w:eastAsia="黑体"/>
          <w:sz w:val="28"/>
          <w:szCs w:val="28"/>
        </w:rPr>
      </w:pPr>
    </w:p>
    <w:tbl>
      <w:tblPr>
        <w:tblStyle w:val="4"/>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2977"/>
        <w:gridCol w:w="3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案件名称</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延锋国际汽车技术有限公司收购安悦先锋汽车信息技术有限公司股权案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trPr>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交易概况</w:t>
            </w:r>
          </w:p>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（限200字内）</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延锋国际汽车技术有限公司（以下简称“延锋国际”）分别与延锋伟世通投资有限公司（以下简称“延锋伟世通”）</w:t>
            </w:r>
            <w:bookmarkStart w:id="1" w:name="_GoBack"/>
            <w:bookmarkEnd w:id="1"/>
            <w:r>
              <w:rPr>
                <w:rFonts w:hint="eastAsia" w:ascii="仿宋" w:hAnsi="仿宋" w:eastAsia="仿宋" w:cs="宋体"/>
                <w:color w:val="333333"/>
                <w:kern w:val="0"/>
                <w:sz w:val="24"/>
                <w:szCs w:val="24"/>
              </w:rPr>
              <w:t>和先锋电子（中国）投资有限公司（以下简称“先锋电子”）于</w:t>
            </w:r>
            <w:r>
              <w:rPr>
                <w:rFonts w:ascii="仿宋" w:hAnsi="仿宋" w:eastAsia="仿宋" w:cs="宋体"/>
                <w:color w:val="333333"/>
                <w:kern w:val="0"/>
                <w:sz w:val="24"/>
                <w:szCs w:val="24"/>
              </w:rPr>
              <w:t>2021年9月签署股权转让协议，约定</w:t>
            </w:r>
            <w:r>
              <w:rPr>
                <w:rFonts w:hint="eastAsia" w:ascii="仿宋" w:hAnsi="仿宋" w:eastAsia="仿宋" w:cs="宋体"/>
                <w:color w:val="333333"/>
                <w:kern w:val="0"/>
                <w:sz w:val="24"/>
                <w:szCs w:val="24"/>
              </w:rPr>
              <w:t>延锋国际</w:t>
            </w:r>
            <w:r>
              <w:rPr>
                <w:rFonts w:ascii="仿宋" w:hAnsi="仿宋" w:eastAsia="仿宋" w:cs="宋体"/>
                <w:color w:val="333333"/>
                <w:kern w:val="0"/>
                <w:sz w:val="24"/>
                <w:szCs w:val="24"/>
              </w:rPr>
              <w:t>收购</w:t>
            </w:r>
            <w:r>
              <w:rPr>
                <w:rFonts w:hint="eastAsia" w:ascii="仿宋" w:hAnsi="仿宋" w:eastAsia="仿宋" w:cs="宋体"/>
                <w:color w:val="333333"/>
                <w:kern w:val="0"/>
                <w:sz w:val="24"/>
                <w:szCs w:val="24"/>
              </w:rPr>
              <w:t>安悦先锋汽车信息技术有限公司（以下简称“安悦先锋”）的</w:t>
            </w:r>
            <w:r>
              <w:rPr>
                <w:rFonts w:ascii="仿宋" w:hAnsi="仿宋" w:eastAsia="仿宋" w:cs="宋体"/>
                <w:color w:val="333333"/>
                <w:kern w:val="0"/>
                <w:sz w:val="24"/>
                <w:szCs w:val="24"/>
              </w:rPr>
              <w:t>股权。交易完成之后，</w:t>
            </w:r>
            <w:r>
              <w:rPr>
                <w:rFonts w:hint="eastAsia" w:ascii="仿宋" w:hAnsi="仿宋" w:eastAsia="仿宋" w:cs="宋体"/>
                <w:color w:val="333333"/>
                <w:kern w:val="0"/>
                <w:sz w:val="24"/>
                <w:szCs w:val="24"/>
              </w:rPr>
              <w:t>安悦先锋成为延锋国际100%控股子公司。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参与集中的</w:t>
            </w:r>
          </w:p>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经营者简介</w:t>
            </w:r>
          </w:p>
        </w:tc>
        <w:tc>
          <w:tcPr>
            <w:tcW w:w="2977"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1、延锋国际</w:t>
            </w:r>
          </w:p>
        </w:tc>
        <w:tc>
          <w:tcPr>
            <w:tcW w:w="3972" w:type="dxa"/>
          </w:tcPr>
          <w:p>
            <w:pPr>
              <w:spacing w:line="500" w:lineRule="exact"/>
              <w:rPr>
                <w:rFonts w:ascii="仿宋" w:hAnsi="仿宋" w:eastAsia="仿宋" w:cs="宋体"/>
                <w:color w:val="333333"/>
                <w:kern w:val="0"/>
                <w:sz w:val="24"/>
                <w:szCs w:val="24"/>
              </w:rPr>
            </w:pPr>
            <w:bookmarkStart w:id="0" w:name="_Hlk36375914"/>
            <w:r>
              <w:rPr>
                <w:rFonts w:hint="eastAsia" w:ascii="仿宋" w:hAnsi="仿宋" w:eastAsia="仿宋" w:cs="宋体"/>
                <w:color w:val="333333"/>
                <w:kern w:val="0"/>
                <w:sz w:val="24"/>
                <w:szCs w:val="24"/>
              </w:rPr>
              <w:t>延锋</w:t>
            </w:r>
            <w:bookmarkEnd w:id="0"/>
            <w:r>
              <w:rPr>
                <w:rFonts w:hint="eastAsia" w:ascii="仿宋" w:hAnsi="仿宋" w:eastAsia="仿宋" w:cs="宋体"/>
                <w:color w:val="333333"/>
                <w:kern w:val="0"/>
                <w:sz w:val="24"/>
                <w:szCs w:val="24"/>
              </w:rPr>
              <w:t>国际主要从事主要从事机动车辆的驾驶舱模块、仪表板、门板、控制台模块、副仪表板、车顶储物盒、遮阳板、顶篷、出风口和调风器以及其他内饰组件的研发和生产。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2977"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2、安悦先锋</w:t>
            </w:r>
          </w:p>
        </w:tc>
        <w:tc>
          <w:tcPr>
            <w:tcW w:w="3972" w:type="dxa"/>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安悦先锋的</w:t>
            </w:r>
            <w:r>
              <w:rPr>
                <w:rFonts w:ascii="仿宋" w:hAnsi="仿宋" w:eastAsia="仿宋" w:cs="宋体"/>
                <w:color w:val="333333"/>
                <w:kern w:val="0"/>
                <w:sz w:val="24"/>
                <w:szCs w:val="24"/>
              </w:rPr>
              <w:t>主营业务是车载流媒体后视镜</w:t>
            </w:r>
            <w:r>
              <w:rPr>
                <w:rFonts w:hint="eastAsia" w:ascii="仿宋" w:hAnsi="仿宋" w:eastAsia="仿宋" w:cs="宋体"/>
                <w:color w:val="333333"/>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1809" w:type="dxa"/>
            <w:vMerge w:val="restart"/>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简易案件理由（可以单选，也可以多选）</w:t>
            </w: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□1.在同一相关市场，所有参与集中的经营者所占市场份额之和小于15%。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sym w:font="Wingdings" w:char="F0FE"/>
            </w:r>
            <w:r>
              <w:rPr>
                <w:rFonts w:hint="eastAsia" w:ascii="仿宋" w:hAnsi="仿宋" w:eastAsia="仿宋" w:cs="宋体"/>
                <w:color w:val="333333"/>
                <w:kern w:val="0"/>
                <w:sz w:val="24"/>
                <w:szCs w:val="24"/>
              </w:rPr>
              <w:t>2.存在上下游关系的参与集中的经营者，在上下游市场所占的市场份额均小于25%。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□3.不在同一相关市场、也不存在上下游关系的参与集中的经营者，在与交易有关的每个市场所占的份额均小于25%。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□4.参与集中的经营者在中国境外设立合营企业，合营企业不在中国境内从事经济活动。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□5.参与集中的经营者收购境外企业股权或资产的，该境外企业不在中国境内从事经济活动。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809" w:type="dxa"/>
            <w:vMerge w:val="continue"/>
            <w:shd w:val="clear" w:color="auto" w:fill="D9D9D9"/>
            <w:vAlign w:val="center"/>
          </w:tcPr>
          <w:p>
            <w:pPr>
              <w:spacing w:line="500" w:lineRule="exact"/>
              <w:jc w:val="center"/>
              <w:rPr>
                <w:rFonts w:ascii="仿宋" w:hAnsi="仿宋" w:eastAsia="仿宋" w:cs="宋体"/>
                <w:color w:val="333333"/>
                <w:kern w:val="0"/>
                <w:sz w:val="24"/>
                <w:szCs w:val="24"/>
              </w:rPr>
            </w:pPr>
          </w:p>
        </w:tc>
        <w:tc>
          <w:tcPr>
            <w:tcW w:w="6949" w:type="dxa"/>
            <w:gridSpan w:val="2"/>
          </w:tcPr>
          <w:p>
            <w:pPr>
              <w:spacing w:line="500" w:lineRule="exact"/>
              <w:rPr>
                <w:rFonts w:ascii="仿宋" w:hAnsi="仿宋" w:eastAsia="仿宋" w:cs="宋体"/>
                <w:color w:val="333333"/>
                <w:kern w:val="0"/>
                <w:sz w:val="24"/>
                <w:szCs w:val="24"/>
              </w:rPr>
            </w:pPr>
            <w:r>
              <w:rPr>
                <w:rFonts w:hint="eastAsia" w:ascii="仿宋" w:hAnsi="仿宋" w:eastAsia="仿宋" w:cs="宋体"/>
                <w:color w:val="333333"/>
                <w:kern w:val="0"/>
                <w:sz w:val="24"/>
                <w:szCs w:val="24"/>
              </w:rPr>
              <w:t>□6.由两个以上的经营者共同控制的合营企业，通过集中被其中一个或一个以上经营者控制。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D9D9D9"/>
            <w:vAlign w:val="center"/>
          </w:tcPr>
          <w:p>
            <w:pPr>
              <w:spacing w:line="500" w:lineRule="exact"/>
              <w:jc w:val="center"/>
              <w:rPr>
                <w:rFonts w:ascii="仿宋" w:hAnsi="仿宋" w:eastAsia="仿宋" w:cs="宋体"/>
                <w:color w:val="333333"/>
                <w:kern w:val="0"/>
                <w:sz w:val="24"/>
                <w:szCs w:val="24"/>
              </w:rPr>
            </w:pPr>
            <w:r>
              <w:rPr>
                <w:rFonts w:hint="eastAsia" w:ascii="仿宋" w:hAnsi="仿宋" w:eastAsia="仿宋" w:cs="宋体"/>
                <w:color w:val="333333"/>
                <w:kern w:val="0"/>
                <w:sz w:val="24"/>
                <w:szCs w:val="24"/>
              </w:rPr>
              <w:t>备注</w:t>
            </w:r>
          </w:p>
        </w:tc>
        <w:tc>
          <w:tcPr>
            <w:tcW w:w="6949" w:type="dxa"/>
            <w:gridSpan w:val="2"/>
          </w:tcPr>
          <w:p>
            <w:pPr>
              <w:widowControl/>
              <w:snapToGrid w:val="0"/>
              <w:rPr>
                <w:rFonts w:ascii="仿宋" w:hAnsi="仿宋" w:eastAsia="仿宋" w:cs="宋体"/>
                <w:color w:val="333333"/>
                <w:kern w:val="0"/>
                <w:sz w:val="24"/>
                <w:szCs w:val="24"/>
              </w:rPr>
            </w:pPr>
            <w:r>
              <w:rPr>
                <w:rFonts w:ascii="仿宋" w:hAnsi="仿宋" w:eastAsia="仿宋" w:cs="宋体"/>
                <w:color w:val="333333"/>
                <w:kern w:val="0"/>
                <w:sz w:val="24"/>
                <w:szCs w:val="24"/>
              </w:rPr>
              <w:t>相关市场及市场份额</w:t>
            </w:r>
            <w:r>
              <w:rPr>
                <w:rFonts w:hint="eastAsia" w:ascii="仿宋" w:hAnsi="仿宋" w:eastAsia="仿宋" w:cs="宋体"/>
                <w:color w:val="333333"/>
                <w:kern w:val="0"/>
                <w:sz w:val="24"/>
                <w:szCs w:val="24"/>
              </w:rPr>
              <w:t>：</w:t>
            </w:r>
          </w:p>
          <w:p>
            <w:pPr>
              <w:widowControl/>
              <w:snapToGrid w:val="0"/>
              <w:rPr>
                <w:rFonts w:ascii="仿宋" w:hAnsi="仿宋" w:eastAsia="仿宋" w:cs="宋体"/>
                <w:color w:val="333333"/>
                <w:kern w:val="0"/>
                <w:sz w:val="24"/>
                <w:szCs w:val="24"/>
              </w:rPr>
            </w:pPr>
          </w:p>
          <w:p>
            <w:pPr>
              <w:widowControl/>
              <w:snapToGrid w:val="0"/>
              <w:rPr>
                <w:rFonts w:ascii="仿宋" w:hAnsi="仿宋" w:eastAsia="仿宋" w:cs="宋体"/>
                <w:color w:val="333333"/>
                <w:kern w:val="0"/>
                <w:sz w:val="24"/>
                <w:szCs w:val="24"/>
              </w:rPr>
            </w:pPr>
            <w:r>
              <w:rPr>
                <w:rFonts w:hint="eastAsia" w:ascii="仿宋" w:hAnsi="仿宋" w:eastAsia="仿宋" w:cs="宋体"/>
                <w:color w:val="333333"/>
                <w:kern w:val="0"/>
                <w:sz w:val="24"/>
                <w:szCs w:val="24"/>
              </w:rPr>
              <w:t>相关商品市场：流媒体后视镜；</w:t>
            </w:r>
          </w:p>
          <w:p>
            <w:pPr>
              <w:widowControl/>
              <w:snapToGrid w:val="0"/>
              <w:rPr>
                <w:rFonts w:ascii="仿宋" w:hAnsi="仿宋" w:eastAsia="仿宋" w:cs="宋体"/>
                <w:color w:val="333333"/>
                <w:kern w:val="0"/>
                <w:sz w:val="24"/>
                <w:szCs w:val="24"/>
              </w:rPr>
            </w:pPr>
            <w:r>
              <w:rPr>
                <w:rFonts w:hint="eastAsia" w:ascii="仿宋" w:hAnsi="仿宋" w:eastAsia="仿宋" w:cs="宋体"/>
                <w:color w:val="333333"/>
                <w:kern w:val="0"/>
                <w:sz w:val="24"/>
                <w:szCs w:val="24"/>
              </w:rPr>
              <w:t>相关地域市场：中国境内；</w:t>
            </w:r>
          </w:p>
          <w:p>
            <w:pPr>
              <w:widowControl/>
              <w:snapToGrid w:val="0"/>
              <w:rPr>
                <w:rFonts w:ascii="仿宋" w:hAnsi="仿宋" w:eastAsia="仿宋" w:cs="宋体"/>
                <w:color w:val="333333"/>
                <w:kern w:val="0"/>
                <w:sz w:val="24"/>
                <w:szCs w:val="24"/>
              </w:rPr>
            </w:pPr>
            <w:r>
              <w:rPr>
                <w:rFonts w:hint="eastAsia" w:ascii="仿宋" w:hAnsi="仿宋" w:eastAsia="仿宋" w:cs="宋体"/>
                <w:color w:val="333333"/>
                <w:kern w:val="0"/>
                <w:sz w:val="24"/>
                <w:szCs w:val="24"/>
              </w:rPr>
              <w:t>市场份额数据：安悦先锋：[</w:t>
            </w:r>
            <w:r>
              <w:rPr>
                <w:rFonts w:ascii="仿宋" w:hAnsi="仿宋" w:eastAsia="仿宋" w:cs="宋体"/>
                <w:color w:val="333333"/>
                <w:kern w:val="0"/>
                <w:sz w:val="24"/>
                <w:szCs w:val="24"/>
              </w:rPr>
              <w:t>0-5]%</w:t>
            </w:r>
            <w:r>
              <w:rPr>
                <w:rFonts w:hint="eastAsia" w:ascii="仿宋" w:hAnsi="仿宋" w:eastAsia="仿宋" w:cs="宋体"/>
                <w:color w:val="333333"/>
                <w:kern w:val="0"/>
                <w:sz w:val="24"/>
                <w:szCs w:val="24"/>
              </w:rPr>
              <w:t>。</w:t>
            </w:r>
          </w:p>
          <w:p>
            <w:pPr>
              <w:widowControl/>
              <w:snapToGrid w:val="0"/>
              <w:rPr>
                <w:rFonts w:ascii="仿宋" w:hAnsi="仿宋" w:eastAsia="仿宋" w:cs="宋体"/>
                <w:color w:val="333333"/>
                <w:kern w:val="0"/>
                <w:sz w:val="24"/>
                <w:szCs w:val="24"/>
              </w:rPr>
            </w:pPr>
          </w:p>
          <w:p>
            <w:pPr>
              <w:widowControl/>
              <w:snapToGrid w:val="0"/>
              <w:rPr>
                <w:rFonts w:ascii="仿宋" w:hAnsi="仿宋" w:eastAsia="仿宋" w:cs="宋体"/>
                <w:color w:val="333333"/>
                <w:kern w:val="0"/>
                <w:sz w:val="24"/>
                <w:szCs w:val="24"/>
              </w:rPr>
            </w:pPr>
            <w:r>
              <w:rPr>
                <w:rFonts w:hint="eastAsia" w:ascii="仿宋" w:hAnsi="仿宋" w:eastAsia="仿宋" w:cs="宋体"/>
                <w:color w:val="333333"/>
                <w:kern w:val="0"/>
                <w:sz w:val="24"/>
                <w:szCs w:val="24"/>
              </w:rPr>
              <w:t>相关商品市场：乘用车；</w:t>
            </w:r>
          </w:p>
          <w:p>
            <w:pPr>
              <w:widowControl/>
              <w:snapToGrid w:val="0"/>
              <w:rPr>
                <w:rFonts w:ascii="仿宋" w:hAnsi="仿宋" w:eastAsia="仿宋" w:cs="宋体"/>
                <w:color w:val="333333"/>
                <w:kern w:val="0"/>
                <w:sz w:val="24"/>
                <w:szCs w:val="24"/>
              </w:rPr>
            </w:pPr>
            <w:r>
              <w:rPr>
                <w:rFonts w:hint="eastAsia" w:ascii="仿宋" w:hAnsi="仿宋" w:eastAsia="仿宋" w:cs="宋体"/>
                <w:color w:val="333333"/>
                <w:kern w:val="0"/>
                <w:sz w:val="24"/>
                <w:szCs w:val="24"/>
              </w:rPr>
              <w:t>相关地域市场：中国境内；</w:t>
            </w:r>
          </w:p>
          <w:p>
            <w:pPr>
              <w:widowControl/>
              <w:snapToGrid w:val="0"/>
              <w:rPr>
                <w:rFonts w:hint="eastAsia" w:ascii="Times New Roman" w:hAnsi="Times New Roman"/>
                <w:sz w:val="24"/>
                <w:szCs w:val="24"/>
              </w:rPr>
            </w:pPr>
            <w:r>
              <w:rPr>
                <w:rFonts w:hint="eastAsia" w:ascii="仿宋" w:hAnsi="仿宋" w:eastAsia="仿宋" w:cs="宋体"/>
                <w:color w:val="333333"/>
                <w:kern w:val="0"/>
                <w:sz w:val="24"/>
                <w:szCs w:val="24"/>
              </w:rPr>
              <w:t>市场份额数据：延锋国际（上汽集团）：[</w:t>
            </w:r>
            <w:r>
              <w:rPr>
                <w:rFonts w:ascii="仿宋" w:hAnsi="仿宋" w:eastAsia="仿宋" w:cs="宋体"/>
                <w:color w:val="333333"/>
                <w:kern w:val="0"/>
                <w:sz w:val="24"/>
                <w:szCs w:val="24"/>
              </w:rPr>
              <w:t>10-15]%</w:t>
            </w:r>
            <w:r>
              <w:rPr>
                <w:rFonts w:hint="eastAsia" w:ascii="仿宋" w:hAnsi="仿宋" w:eastAsia="仿宋" w:cs="宋体"/>
                <w:color w:val="333333"/>
                <w:kern w:val="0"/>
                <w:sz w:val="24"/>
                <w:szCs w:val="24"/>
              </w:rPr>
              <w:t>。</w:t>
            </w:r>
          </w:p>
        </w:tc>
      </w:tr>
    </w:tbl>
    <w:p>
      <w:pPr>
        <w:snapToGrid w:val="0"/>
        <w:spacing w:line="240" w:lineRule="exact"/>
        <w:jc w:val="left"/>
        <w:rPr>
          <w:rFonts w:ascii="楷体_GB2312" w:hAnsi="宋体" w:eastAsia="楷体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4D"/>
    <w:family w:val="decorative"/>
    <w:pitch w:val="default"/>
    <w:sig w:usb0="00000000" w:usb1="00000000" w:usb2="00000000" w:usb3="00000000" w:csb0="80000000" w:csb1="00000000"/>
  </w:font>
  <w:font w:name="楷体_GB2312">
    <w:altName w:val="楷体"/>
    <w:panose1 w:val="020B0604020202020204"/>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00DF"/>
    <w:rsid w:val="00037065"/>
    <w:rsid w:val="000D7EBA"/>
    <w:rsid w:val="000E62DD"/>
    <w:rsid w:val="001164CD"/>
    <w:rsid w:val="0014237A"/>
    <w:rsid w:val="00155717"/>
    <w:rsid w:val="001837A3"/>
    <w:rsid w:val="0018670C"/>
    <w:rsid w:val="0019660D"/>
    <w:rsid w:val="001B2389"/>
    <w:rsid w:val="001D2C17"/>
    <w:rsid w:val="003053E8"/>
    <w:rsid w:val="00337D3B"/>
    <w:rsid w:val="003C0AEB"/>
    <w:rsid w:val="004A14AF"/>
    <w:rsid w:val="004F7688"/>
    <w:rsid w:val="005B06AC"/>
    <w:rsid w:val="00623886"/>
    <w:rsid w:val="006467D8"/>
    <w:rsid w:val="006A531B"/>
    <w:rsid w:val="006F7693"/>
    <w:rsid w:val="00710140"/>
    <w:rsid w:val="00787D2B"/>
    <w:rsid w:val="007A7CEE"/>
    <w:rsid w:val="007F2275"/>
    <w:rsid w:val="00816F3D"/>
    <w:rsid w:val="0090477F"/>
    <w:rsid w:val="00915F0F"/>
    <w:rsid w:val="009532DF"/>
    <w:rsid w:val="009743DB"/>
    <w:rsid w:val="00997019"/>
    <w:rsid w:val="009A5029"/>
    <w:rsid w:val="009D38D5"/>
    <w:rsid w:val="00A32BDD"/>
    <w:rsid w:val="00A52E03"/>
    <w:rsid w:val="00A53F26"/>
    <w:rsid w:val="00A81FDD"/>
    <w:rsid w:val="00AA0CC5"/>
    <w:rsid w:val="00B16AFE"/>
    <w:rsid w:val="00B219C3"/>
    <w:rsid w:val="00B65DD5"/>
    <w:rsid w:val="00BD10B6"/>
    <w:rsid w:val="00C07076"/>
    <w:rsid w:val="00CA599D"/>
    <w:rsid w:val="00CB00DF"/>
    <w:rsid w:val="00CC0F01"/>
    <w:rsid w:val="00D11A24"/>
    <w:rsid w:val="00D22FE2"/>
    <w:rsid w:val="00D609C5"/>
    <w:rsid w:val="00D73C72"/>
    <w:rsid w:val="00E0592B"/>
    <w:rsid w:val="00E31738"/>
    <w:rsid w:val="00E50A16"/>
    <w:rsid w:val="00E86786"/>
    <w:rsid w:val="00ED2F80"/>
    <w:rsid w:val="00F1624E"/>
    <w:rsid w:val="00F32F8A"/>
    <w:rsid w:val="00F34B8E"/>
    <w:rsid w:val="00F810AA"/>
    <w:rsid w:val="00FB43EC"/>
    <w:rsid w:val="00FB6B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99"/>
    <w:rPr>
      <w:rFonts w:ascii="Calibri" w:hAnsi="Calibri" w:eastAsia="宋体" w:cs="Times New Roman"/>
      <w:sz w:val="18"/>
      <w:szCs w:val="18"/>
    </w:rPr>
  </w:style>
  <w:style w:type="character" w:customStyle="1" w:styleId="8">
    <w:name w:val="页脚 字符"/>
    <w:basedOn w:val="6"/>
    <w:link w:val="2"/>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114</Words>
  <Characters>653</Characters>
  <Lines>5</Lines>
  <Paragraphs>1</Paragraphs>
  <TotalTime>5</TotalTime>
  <ScaleCrop>false</ScaleCrop>
  <LinksUpToDate>false</LinksUpToDate>
  <CharactersWithSpaces>766</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2021-09-16T09:04:00Z</dcterms:created>
  <dc:creator>陈媚</dc:creator>
  <cp:lastModifiedBy>张洪磊</cp:lastModifiedBy>
  <dcterms:modified xsi:type="dcterms:W3CDTF">2021-10-11T06:15:15Z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