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6F6EF" w14:textId="77777777" w:rsidR="00010A97" w:rsidRPr="003E22F5" w:rsidRDefault="00010A97" w:rsidP="00010A97">
      <w:pPr>
        <w:spacing w:line="440" w:lineRule="exact"/>
        <w:jc w:val="center"/>
        <w:rPr>
          <w:rFonts w:ascii="Times New Roman" w:eastAsia="仿宋" w:hAnsi="Times New Roman"/>
          <w:b/>
          <w:sz w:val="24"/>
          <w:szCs w:val="30"/>
        </w:rPr>
      </w:pPr>
      <w:r w:rsidRPr="003E22F5">
        <w:rPr>
          <w:rFonts w:ascii="Times New Roman" w:eastAsia="仿宋" w:hAnsi="Times New Roman"/>
          <w:b/>
          <w:sz w:val="24"/>
          <w:szCs w:val="30"/>
        </w:rPr>
        <w:t>经营者集中简易案件公示表</w:t>
      </w:r>
    </w:p>
    <w:p w14:paraId="5A6C1088" w14:textId="77777777" w:rsidR="00010A97" w:rsidRPr="003E22F5" w:rsidRDefault="00010A97" w:rsidP="00010A97">
      <w:pPr>
        <w:spacing w:line="440" w:lineRule="exact"/>
        <w:jc w:val="center"/>
        <w:rPr>
          <w:rFonts w:ascii="Times New Roman" w:eastAsia="仿宋" w:hAnsi="Times New Roman"/>
          <w:sz w:val="24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2239"/>
        <w:gridCol w:w="4486"/>
      </w:tblGrid>
      <w:tr w:rsidR="00010A97" w:rsidRPr="003E22F5" w14:paraId="77791C5C" w14:textId="77777777" w:rsidTr="002F5793">
        <w:tc>
          <w:tcPr>
            <w:tcW w:w="2033" w:type="dxa"/>
            <w:shd w:val="clear" w:color="auto" w:fill="D9D9D9"/>
          </w:tcPr>
          <w:p w14:paraId="7EC305D9" w14:textId="77777777" w:rsidR="00010A97" w:rsidRPr="003E22F5" w:rsidRDefault="00010A97" w:rsidP="002F5793">
            <w:pPr>
              <w:spacing w:beforeLines="25" w:before="78" w:afterLines="25" w:after="78"/>
              <w:rPr>
                <w:rFonts w:ascii="Times New Roman" w:eastAsia="仿宋" w:hAnsi="Times New Roman"/>
                <w:sz w:val="24"/>
                <w:szCs w:val="24"/>
              </w:rPr>
            </w:pPr>
            <w:r w:rsidRPr="003E22F5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案件名称</w:t>
            </w:r>
          </w:p>
        </w:tc>
        <w:tc>
          <w:tcPr>
            <w:tcW w:w="6725" w:type="dxa"/>
            <w:gridSpan w:val="2"/>
            <w:shd w:val="clear" w:color="auto" w:fill="auto"/>
          </w:tcPr>
          <w:p w14:paraId="1AC44ADF" w14:textId="76643304" w:rsidR="00010A97" w:rsidRPr="003E22F5" w:rsidRDefault="009E29DF" w:rsidP="00E97169">
            <w:pPr>
              <w:spacing w:beforeLines="25" w:before="78" w:afterLines="25" w:after="78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9E29DF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嘉吉公司</w:t>
            </w:r>
            <w:r w:rsidR="00E97169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与</w:t>
            </w:r>
            <w:r w:rsidRPr="009E29DF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康地谷物公司收购桑德森农场公司和大威康地公司业务案</w:t>
            </w:r>
            <w:r w:rsidR="00463D4B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（“</w:t>
            </w:r>
            <w:r w:rsidR="00463D4B">
              <w:rPr>
                <w:rFonts w:ascii="Times New Roman" w:eastAsia="仿宋" w:hAnsi="Times New Roman" w:hint="eastAsia"/>
                <w:b/>
                <w:color w:val="000000" w:themeColor="text1"/>
                <w:sz w:val="24"/>
              </w:rPr>
              <w:t>本交易</w:t>
            </w:r>
            <w:r w:rsidR="00463D4B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”）</w:t>
            </w:r>
          </w:p>
        </w:tc>
      </w:tr>
      <w:tr w:rsidR="00010A97" w:rsidRPr="003E22F5" w14:paraId="102B7839" w14:textId="77777777" w:rsidTr="002F5793">
        <w:trPr>
          <w:trHeight w:val="993"/>
        </w:trPr>
        <w:tc>
          <w:tcPr>
            <w:tcW w:w="2033" w:type="dxa"/>
            <w:shd w:val="clear" w:color="auto" w:fill="D9D9D9"/>
          </w:tcPr>
          <w:p w14:paraId="7C41DCF8" w14:textId="77777777" w:rsidR="00010A97" w:rsidRPr="003E22F5" w:rsidRDefault="00010A97" w:rsidP="002F5793">
            <w:pPr>
              <w:spacing w:beforeLines="25" w:before="78" w:afterLines="25" w:after="78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3E22F5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交易概况</w:t>
            </w:r>
            <w:r w:rsidRPr="003E22F5">
              <w:rPr>
                <w:rFonts w:ascii="Times New Roman" w:eastAsia="仿宋" w:hAnsi="Times New Roman" w:hint="eastAsia"/>
                <w:sz w:val="24"/>
                <w:szCs w:val="24"/>
              </w:rPr>
              <w:t>（限</w:t>
            </w:r>
            <w:r w:rsidRPr="003E22F5">
              <w:rPr>
                <w:rFonts w:ascii="Times New Roman" w:eastAsia="仿宋" w:hAnsi="Times New Roman" w:hint="eastAsia"/>
                <w:sz w:val="24"/>
                <w:szCs w:val="24"/>
              </w:rPr>
              <w:t>200</w:t>
            </w:r>
            <w:r w:rsidRPr="003E22F5">
              <w:rPr>
                <w:rFonts w:ascii="Times New Roman" w:eastAsia="仿宋" w:hAnsi="Times New Roman" w:hint="eastAsia"/>
                <w:sz w:val="24"/>
                <w:szCs w:val="24"/>
              </w:rPr>
              <w:t>字内）</w:t>
            </w:r>
          </w:p>
        </w:tc>
        <w:tc>
          <w:tcPr>
            <w:tcW w:w="6725" w:type="dxa"/>
            <w:gridSpan w:val="2"/>
            <w:shd w:val="clear" w:color="auto" w:fill="auto"/>
          </w:tcPr>
          <w:p w14:paraId="5DB8A8AA" w14:textId="0DEB1CF5" w:rsidR="009E29DF" w:rsidRPr="002F6291" w:rsidRDefault="00D04B4C" w:rsidP="00D04B4C">
            <w:pPr>
              <w:spacing w:beforeLines="25" w:before="78" w:afterLines="25" w:after="78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D04B4C">
              <w:rPr>
                <w:rFonts w:ascii="Times New Roman" w:eastAsia="仿宋" w:hAnsi="Times New Roman"/>
                <w:color w:val="000000" w:themeColor="text1"/>
                <w:sz w:val="24"/>
              </w:rPr>
              <w:t>本交易涉及</w:t>
            </w:r>
            <w:r w:rsidR="002F6291">
              <w:rPr>
                <w:rFonts w:ascii="Times New Roman" w:eastAsia="仿宋" w:hAnsi="Times New Roman"/>
                <w:color w:val="000000" w:themeColor="text1"/>
                <w:sz w:val="24"/>
              </w:rPr>
              <w:t>嘉吉公司</w:t>
            </w:r>
            <w:r w:rsidR="002F6291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（“</w:t>
            </w:r>
            <w:r w:rsidR="002F6291">
              <w:rPr>
                <w:rFonts w:ascii="Times New Roman" w:eastAsia="仿宋" w:hAnsi="Times New Roman" w:hint="eastAsia"/>
                <w:b/>
                <w:color w:val="000000" w:themeColor="text1"/>
                <w:sz w:val="24"/>
              </w:rPr>
              <w:t>嘉吉</w:t>
            </w:r>
            <w:r w:rsidR="002F6291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”）</w:t>
            </w:r>
            <w:r w:rsidRPr="00D04B4C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</w:rPr>
              <w:t>与</w:t>
            </w:r>
            <w:r w:rsidR="002F6291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</w:rPr>
              <w:t>康地谷物公司（“</w:t>
            </w:r>
            <w:r w:rsidR="002F6291" w:rsidRPr="002F6291">
              <w:rPr>
                <w:rFonts w:ascii="Times New Roman" w:eastAsia="仿宋" w:hAnsi="Times New Roman" w:hint="eastAsia"/>
                <w:b/>
                <w:bCs/>
                <w:color w:val="000000" w:themeColor="text1"/>
                <w:sz w:val="24"/>
              </w:rPr>
              <w:t>康地</w:t>
            </w:r>
            <w:r w:rsidR="002F6291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</w:rPr>
              <w:t>”）</w:t>
            </w:r>
            <w:r w:rsidRPr="00D04B4C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拟</w:t>
            </w:r>
            <w:r w:rsidRPr="00D04B4C">
              <w:rPr>
                <w:rFonts w:ascii="Times New Roman" w:eastAsia="仿宋" w:hAnsi="Times New Roman"/>
                <w:color w:val="000000" w:themeColor="text1"/>
                <w:sz w:val="24"/>
              </w:rPr>
              <w:t>共同</w:t>
            </w:r>
            <w:r w:rsidR="002F6291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收购</w:t>
            </w:r>
            <w:r w:rsidR="002F6291" w:rsidRPr="002F6291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桑德森农场公司</w:t>
            </w:r>
            <w:r w:rsidR="002F6291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（“</w:t>
            </w:r>
            <w:r w:rsidR="002F6291">
              <w:rPr>
                <w:rFonts w:ascii="Times New Roman" w:eastAsia="仿宋" w:hAnsi="Times New Roman" w:hint="eastAsia"/>
                <w:b/>
                <w:color w:val="000000" w:themeColor="text1"/>
                <w:sz w:val="24"/>
              </w:rPr>
              <w:t>桑德森</w:t>
            </w:r>
            <w:r w:rsidR="002F6291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”）与</w:t>
            </w:r>
            <w:r w:rsidR="002F6291" w:rsidRPr="002F6291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大威康地公司</w:t>
            </w:r>
            <w:r w:rsidR="002F6291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（“</w:t>
            </w:r>
            <w:r w:rsidR="002F6291">
              <w:rPr>
                <w:rFonts w:ascii="Times New Roman" w:eastAsia="仿宋" w:hAnsi="Times New Roman" w:hint="eastAsia"/>
                <w:b/>
                <w:color w:val="000000" w:themeColor="text1"/>
                <w:sz w:val="24"/>
              </w:rPr>
              <w:t>大威</w:t>
            </w:r>
            <w:r w:rsidR="002F6291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”）的业务</w:t>
            </w:r>
            <w:r w:rsidRPr="00D04B4C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。</w:t>
            </w:r>
            <w:r w:rsidR="00463D4B">
              <w:rPr>
                <w:rFonts w:ascii="Times New Roman" w:eastAsia="仿宋" w:hAnsi="Times New Roman"/>
                <w:color w:val="000000" w:themeColor="text1"/>
                <w:sz w:val="24"/>
              </w:rPr>
              <w:t>本</w:t>
            </w:r>
            <w:r w:rsidR="009E29DF" w:rsidRPr="009E29DF">
              <w:rPr>
                <w:rFonts w:ascii="Times New Roman" w:eastAsia="仿宋" w:hAnsi="Times New Roman"/>
                <w:color w:val="000000" w:themeColor="text1"/>
                <w:sz w:val="24"/>
              </w:rPr>
              <w:t>交易完成后，嘉吉和康地将共同控制桑德森和大威。</w:t>
            </w:r>
          </w:p>
        </w:tc>
      </w:tr>
      <w:tr w:rsidR="00CE6769" w:rsidRPr="003E22F5" w14:paraId="4138E483" w14:textId="77777777" w:rsidTr="006575A9">
        <w:trPr>
          <w:trHeight w:val="461"/>
        </w:trPr>
        <w:tc>
          <w:tcPr>
            <w:tcW w:w="2033" w:type="dxa"/>
            <w:vMerge w:val="restart"/>
            <w:shd w:val="clear" w:color="auto" w:fill="D9D9D9"/>
          </w:tcPr>
          <w:p w14:paraId="6EAFDCD9" w14:textId="77777777" w:rsidR="00CE6769" w:rsidRPr="003E22F5" w:rsidRDefault="00CE6769" w:rsidP="002F5793">
            <w:pPr>
              <w:spacing w:beforeLines="25" w:before="78" w:afterLines="25" w:after="78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 w:rsidRPr="003E22F5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参与集中的经营者简介</w:t>
            </w:r>
          </w:p>
        </w:tc>
        <w:tc>
          <w:tcPr>
            <w:tcW w:w="2239" w:type="dxa"/>
            <w:shd w:val="clear" w:color="auto" w:fill="auto"/>
          </w:tcPr>
          <w:p w14:paraId="6BB86F3C" w14:textId="75633E0C" w:rsidR="00CE6769" w:rsidRPr="003E22F5" w:rsidRDefault="002F6291" w:rsidP="00D04B4C">
            <w:pPr>
              <w:numPr>
                <w:ilvl w:val="0"/>
                <w:numId w:val="1"/>
              </w:numPr>
              <w:spacing w:beforeLines="25" w:before="78" w:afterLines="25" w:after="78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嘉吉</w:t>
            </w:r>
          </w:p>
        </w:tc>
        <w:tc>
          <w:tcPr>
            <w:tcW w:w="4486" w:type="dxa"/>
            <w:shd w:val="clear" w:color="auto" w:fill="auto"/>
          </w:tcPr>
          <w:p w14:paraId="1D903B1F" w14:textId="0617D1C2" w:rsidR="00CE6769" w:rsidRPr="00D04B4C" w:rsidRDefault="002F6291" w:rsidP="00463D4B">
            <w:pPr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嘉吉成立于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" w:hAnsi="Times New Roman"/>
                <w:color w:val="000000" w:themeColor="text1"/>
                <w:sz w:val="24"/>
              </w:rPr>
              <w:t>930</w:t>
            </w:r>
            <w:r>
              <w:rPr>
                <w:rFonts w:ascii="Times New Roman" w:eastAsia="仿宋" w:hAnsi="Times New Roman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月，是一家总部位于美国的公司</w:t>
            </w:r>
            <w:r w:rsidR="00CE6769" w:rsidRPr="00D04B4C">
              <w:rPr>
                <w:rFonts w:ascii="Times New Roman" w:eastAsia="仿宋" w:hAnsi="Times New Roman"/>
                <w:color w:val="000000" w:themeColor="text1"/>
                <w:sz w:val="24"/>
              </w:rPr>
              <w:t>。</w:t>
            </w:r>
            <w:r>
              <w:rPr>
                <w:rFonts w:ascii="Times New Roman" w:eastAsia="仿宋" w:hAnsi="Times New Roman"/>
                <w:color w:val="000000" w:themeColor="text1"/>
                <w:sz w:val="24"/>
              </w:rPr>
              <w:t>嘉吉</w:t>
            </w:r>
            <w:r w:rsidR="00463D4B">
              <w:rPr>
                <w:rFonts w:ascii="Times New Roman" w:eastAsia="仿宋" w:hAnsi="Times New Roman"/>
                <w:color w:val="000000" w:themeColor="text1"/>
                <w:sz w:val="24"/>
              </w:rPr>
              <w:t>在</w:t>
            </w:r>
            <w:r w:rsidRPr="002F6291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全球范围内提供食品、农业、金融及工业产品和服务</w:t>
            </w:r>
            <w:r w:rsidR="00463D4B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，其</w:t>
            </w:r>
            <w:r w:rsidRPr="002F6291">
              <w:rPr>
                <w:rFonts w:ascii="Times New Roman" w:eastAsia="仿宋" w:hAnsi="Times New Roman"/>
                <w:bCs/>
                <w:color w:val="000000" w:themeColor="text1"/>
                <w:sz w:val="24"/>
                <w:lang w:val="en-SG"/>
              </w:rPr>
              <w:t>主要</w:t>
            </w:r>
            <w:r w:rsidR="00463D4B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lang w:val="en-SG"/>
              </w:rPr>
              <w:t>在四个领域开展</w:t>
            </w:r>
            <w:r w:rsidR="00463D4B">
              <w:rPr>
                <w:rFonts w:ascii="Times New Roman" w:eastAsia="仿宋" w:hAnsi="Times New Roman"/>
                <w:bCs/>
                <w:color w:val="000000" w:themeColor="text1"/>
                <w:sz w:val="24"/>
                <w:lang w:val="en-SG"/>
              </w:rPr>
              <w:t>业务</w:t>
            </w:r>
            <w:r w:rsidR="00463D4B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lang w:val="en-SG"/>
              </w:rPr>
              <w:t>：</w:t>
            </w:r>
            <w:r w:rsidRPr="002F6291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lang w:val="en-SG"/>
              </w:rPr>
              <w:t>蛋白质和盐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lang w:val="en-SG"/>
              </w:rPr>
              <w:t>、</w:t>
            </w:r>
            <w:r w:rsidRPr="002F6291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lang w:val="en-SG"/>
              </w:rPr>
              <w:t>动物营养与健康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lang w:val="en-SG"/>
              </w:rPr>
              <w:t>、</w:t>
            </w:r>
            <w:r w:rsidRPr="002F6291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lang w:val="en-SG"/>
              </w:rPr>
              <w:t>农业供应链</w:t>
            </w:r>
            <w:r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lang w:val="en-SG"/>
              </w:rPr>
              <w:t>及</w:t>
            </w:r>
            <w:r w:rsidRPr="002F6291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lang w:val="en-SG"/>
              </w:rPr>
              <w:t>食品原料和生物工业</w:t>
            </w:r>
            <w:r w:rsidR="00463D4B">
              <w:rPr>
                <w:rFonts w:ascii="Times New Roman" w:eastAsia="仿宋" w:hAnsi="Times New Roman" w:hint="eastAsia"/>
                <w:bCs/>
                <w:color w:val="000000" w:themeColor="text1"/>
                <w:sz w:val="24"/>
                <w:lang w:val="en-SG"/>
              </w:rPr>
              <w:t>。</w:t>
            </w:r>
          </w:p>
        </w:tc>
      </w:tr>
      <w:tr w:rsidR="00CE6769" w:rsidRPr="003E22F5" w14:paraId="376F78B2" w14:textId="77777777" w:rsidTr="002F5793">
        <w:trPr>
          <w:trHeight w:val="468"/>
        </w:trPr>
        <w:tc>
          <w:tcPr>
            <w:tcW w:w="2033" w:type="dxa"/>
            <w:vMerge/>
            <w:shd w:val="clear" w:color="auto" w:fill="D9D9D9"/>
          </w:tcPr>
          <w:p w14:paraId="3EA33DAC" w14:textId="77777777" w:rsidR="00CE6769" w:rsidRPr="003E22F5" w:rsidRDefault="00CE6769" w:rsidP="002F5793">
            <w:pPr>
              <w:spacing w:beforeLines="25" w:before="78" w:afterLines="25" w:after="78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1781BF49" w14:textId="2543DE92" w:rsidR="00CE6769" w:rsidRPr="003E22F5" w:rsidRDefault="00CE6769" w:rsidP="002F5793">
            <w:pPr>
              <w:numPr>
                <w:ilvl w:val="0"/>
                <w:numId w:val="1"/>
              </w:numPr>
              <w:spacing w:beforeLines="25" w:before="78" w:afterLines="25" w:after="78"/>
              <w:rPr>
                <w:rFonts w:ascii="Times New Roman" w:eastAsia="仿宋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康地</w:t>
            </w:r>
          </w:p>
        </w:tc>
        <w:tc>
          <w:tcPr>
            <w:tcW w:w="4486" w:type="dxa"/>
            <w:shd w:val="clear" w:color="auto" w:fill="auto"/>
          </w:tcPr>
          <w:p w14:paraId="67941827" w14:textId="00CBF4AF" w:rsidR="00CE6769" w:rsidRPr="003E22F5" w:rsidRDefault="00CE6769" w:rsidP="00CE6769">
            <w:pPr>
              <w:spacing w:beforeLines="25" w:before="78" w:afterLines="25" w:after="78"/>
              <w:rPr>
                <w:rFonts w:ascii="Times New Roman" w:eastAsia="仿宋" w:hAnsi="Times New Roman"/>
                <w:sz w:val="24"/>
                <w:szCs w:val="24"/>
                <w:lang w:val="en-GB"/>
              </w:rPr>
            </w:pPr>
            <w:r w:rsidRPr="009F0FDB"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康地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成立于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  <w:lang w:val="en-GB"/>
              </w:rPr>
              <w:t>9</w:t>
            </w:r>
            <w:r w:rsidR="00DC50F5">
              <w:rPr>
                <w:rFonts w:ascii="Times New Roman" w:eastAsia="仿宋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仿宋" w:hAnsi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eastAsia="仿宋" w:hAnsi="Times New Roman"/>
                <w:sz w:val="24"/>
                <w:szCs w:val="24"/>
                <w:lang w:val="en-GB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3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月，是一家总部位于</w:t>
            </w:r>
            <w:r w:rsidR="002F6291"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美国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的公司。康地是</w:t>
            </w:r>
            <w:r w:rsidRPr="00CE6769"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食品和农业领域的全球投资者、所有者和运营商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。</w:t>
            </w:r>
          </w:p>
        </w:tc>
      </w:tr>
      <w:tr w:rsidR="00CE6769" w:rsidRPr="003E22F5" w14:paraId="47C57482" w14:textId="77777777" w:rsidTr="002F5793">
        <w:trPr>
          <w:trHeight w:val="468"/>
        </w:trPr>
        <w:tc>
          <w:tcPr>
            <w:tcW w:w="2033" w:type="dxa"/>
            <w:vMerge/>
            <w:shd w:val="clear" w:color="auto" w:fill="D9D9D9"/>
          </w:tcPr>
          <w:p w14:paraId="3A22D41C" w14:textId="77777777" w:rsidR="00CE6769" w:rsidRPr="003E22F5" w:rsidRDefault="00CE6769" w:rsidP="002F5793">
            <w:pPr>
              <w:spacing w:beforeLines="25" w:before="78" w:afterLines="25" w:after="78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653008F7" w14:textId="6EA9198E" w:rsidR="00CE6769" w:rsidRPr="003E22F5" w:rsidRDefault="00CE6769" w:rsidP="002F5793">
            <w:pPr>
              <w:numPr>
                <w:ilvl w:val="0"/>
                <w:numId w:val="1"/>
              </w:numPr>
              <w:spacing w:beforeLines="25" w:before="78" w:afterLines="25" w:after="78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桑德森</w:t>
            </w:r>
          </w:p>
        </w:tc>
        <w:tc>
          <w:tcPr>
            <w:tcW w:w="4486" w:type="dxa"/>
            <w:shd w:val="clear" w:color="auto" w:fill="auto"/>
          </w:tcPr>
          <w:p w14:paraId="7ED4E0EA" w14:textId="2B769B18" w:rsidR="00CE6769" w:rsidRPr="003E22F5" w:rsidRDefault="00CE6769" w:rsidP="00E834EA">
            <w:pPr>
              <w:spacing w:beforeLines="25" w:before="78" w:afterLines="25" w:after="78"/>
              <w:rPr>
                <w:rFonts w:ascii="Times New Roman" w:eastAsia="仿宋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桑德森</w:t>
            </w:r>
            <w:r>
              <w:rPr>
                <w:rFonts w:ascii="Times New Roman" w:eastAsia="仿宋" w:hAnsi="Times New Roman"/>
                <w:sz w:val="24"/>
                <w:szCs w:val="24"/>
                <w:lang w:val="en-GB"/>
              </w:rPr>
              <w:t>成立于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  <w:lang w:val="en-GB"/>
              </w:rPr>
              <w:t>947</w:t>
            </w:r>
            <w:r>
              <w:rPr>
                <w:rFonts w:ascii="Times New Roman" w:eastAsia="仿宋" w:hAnsi="Times New Roman"/>
                <w:sz w:val="24"/>
                <w:szCs w:val="24"/>
                <w:lang w:val="en-GB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，</w:t>
            </w:r>
            <w:r>
              <w:rPr>
                <w:rFonts w:ascii="Times New Roman" w:eastAsia="仿宋" w:hAnsi="Times New Roman"/>
                <w:sz w:val="24"/>
                <w:szCs w:val="24"/>
                <w:lang w:val="en-GB"/>
              </w:rPr>
              <w:t>总部位于美国</w:t>
            </w:r>
            <w:r w:rsidRPr="00D04B4C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。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桑德森是一家从事</w:t>
            </w:r>
            <w:r w:rsidRPr="00CE6769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生产、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加工、营销和销售新鲜和冷冻鸡肉以及</w:t>
            </w:r>
            <w:r w:rsidR="00E834EA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经过</w:t>
            </w:r>
            <w:r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加工和初步处理的鸡肉产品企业。</w:t>
            </w:r>
          </w:p>
        </w:tc>
      </w:tr>
      <w:tr w:rsidR="00CE6769" w:rsidRPr="003E22F5" w14:paraId="3F553769" w14:textId="77777777" w:rsidTr="002F5793">
        <w:trPr>
          <w:trHeight w:val="468"/>
        </w:trPr>
        <w:tc>
          <w:tcPr>
            <w:tcW w:w="2033" w:type="dxa"/>
            <w:vMerge/>
            <w:shd w:val="clear" w:color="auto" w:fill="D9D9D9"/>
          </w:tcPr>
          <w:p w14:paraId="7B123B0A" w14:textId="77777777" w:rsidR="00CE6769" w:rsidRPr="003E22F5" w:rsidRDefault="00CE6769" w:rsidP="002F5793">
            <w:pPr>
              <w:spacing w:beforeLines="25" w:before="78" w:afterLines="25" w:after="78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056FE98E" w14:textId="4A5FB49D" w:rsidR="00CE6769" w:rsidRDefault="00CE6769" w:rsidP="002F5793">
            <w:pPr>
              <w:numPr>
                <w:ilvl w:val="0"/>
                <w:numId w:val="1"/>
              </w:numPr>
              <w:spacing w:beforeLines="25" w:before="78" w:afterLines="25" w:after="78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大威</w:t>
            </w:r>
          </w:p>
        </w:tc>
        <w:tc>
          <w:tcPr>
            <w:tcW w:w="4486" w:type="dxa"/>
            <w:shd w:val="clear" w:color="auto" w:fill="auto"/>
          </w:tcPr>
          <w:p w14:paraId="315FB2A5" w14:textId="7FFFD2B8" w:rsidR="00CE6769" w:rsidRDefault="00CE6769" w:rsidP="00EE75E0">
            <w:pPr>
              <w:spacing w:beforeLines="25" w:before="78" w:afterLines="25" w:after="78"/>
              <w:rPr>
                <w:rFonts w:ascii="Times New Roman" w:eastAsia="仿宋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大威成立于</w:t>
            </w:r>
            <w:r>
              <w:rPr>
                <w:rFonts w:ascii="Times New Roman" w:eastAsia="仿宋" w:hAnsi="Times New Roman"/>
                <w:sz w:val="24"/>
                <w:szCs w:val="24"/>
                <w:lang w:val="en-GB"/>
              </w:rPr>
              <w:t>2000</w:t>
            </w:r>
            <w:r>
              <w:rPr>
                <w:rFonts w:ascii="Times New Roman" w:eastAsia="仿宋" w:hAnsi="Times New Roman"/>
                <w:sz w:val="24"/>
                <w:szCs w:val="24"/>
                <w:lang w:val="en-GB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3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月，总部位于美国。大威是一</w:t>
            </w:r>
            <w:r w:rsidR="00463D4B"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家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禽</w:t>
            </w:r>
            <w:r w:rsidR="00EE75E0"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类</w:t>
            </w:r>
            <w:r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生产企业，在美国</w:t>
            </w:r>
            <w:r w:rsidRPr="00CE6769"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拥有并经营</w:t>
            </w:r>
            <w:r w:rsidR="00EE75E0"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鸡肉初加工</w:t>
            </w:r>
            <w:r w:rsidRPr="00CE6769"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和深加工</w:t>
            </w:r>
            <w:r w:rsidR="00EE75E0"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工厂</w:t>
            </w:r>
            <w:r w:rsidRPr="00CE6769">
              <w:rPr>
                <w:rFonts w:ascii="Times New Roman" w:eastAsia="仿宋" w:hAnsi="Times New Roman" w:hint="eastAsia"/>
                <w:sz w:val="24"/>
                <w:szCs w:val="24"/>
                <w:lang w:val="en-GB"/>
              </w:rPr>
              <w:t>，并向全球客户提供产品。</w:t>
            </w:r>
          </w:p>
        </w:tc>
      </w:tr>
      <w:tr w:rsidR="00010A97" w:rsidRPr="003E22F5" w14:paraId="743F4561" w14:textId="77777777" w:rsidTr="002F5793">
        <w:trPr>
          <w:trHeight w:val="279"/>
        </w:trPr>
        <w:tc>
          <w:tcPr>
            <w:tcW w:w="2033" w:type="dxa"/>
            <w:vMerge w:val="restart"/>
            <w:shd w:val="clear" w:color="auto" w:fill="D9D9D9"/>
          </w:tcPr>
          <w:p w14:paraId="4A76070D" w14:textId="77777777" w:rsidR="00010A97" w:rsidRPr="003E22F5" w:rsidRDefault="00010A97" w:rsidP="002F5793">
            <w:pPr>
              <w:spacing w:beforeLines="25" w:before="78" w:afterLines="25" w:after="78"/>
              <w:jc w:val="left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E22F5">
              <w:rPr>
                <w:rFonts w:ascii="Times New Roman" w:eastAsia="仿宋" w:hAnsi="Times New Roman"/>
                <w:b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725" w:type="dxa"/>
            <w:gridSpan w:val="2"/>
            <w:shd w:val="clear" w:color="auto" w:fill="auto"/>
          </w:tcPr>
          <w:p w14:paraId="2CF95504" w14:textId="15C611AC" w:rsidR="00010A97" w:rsidRPr="003E22F5" w:rsidRDefault="00CE6769" w:rsidP="002F5793">
            <w:pPr>
              <w:spacing w:beforeLines="25" w:before="78" w:afterLines="25" w:after="78" w:line="28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CE6769">
              <w:rPr>
                <w:rFonts w:ascii="Wingdings" w:eastAsia="黑体" w:hAnsi="Wingdings"/>
                <w:szCs w:val="21"/>
              </w:rPr>
              <w:sym w:font="Wingdings" w:char="F0FE"/>
            </w:r>
            <w:r w:rsidRPr="00CE6769">
              <w:rPr>
                <w:rFonts w:ascii="Times New Roman" w:eastAsia="仿宋_GB2312" w:hAnsi="Times New Roman" w:hint="eastAsia"/>
                <w:sz w:val="22"/>
              </w:rPr>
              <w:t xml:space="preserve"> </w:t>
            </w:r>
            <w:r w:rsidR="00010A97" w:rsidRPr="003E22F5">
              <w:rPr>
                <w:rFonts w:ascii="Times New Roman" w:eastAsia="仿宋" w:hAnsi="Times New Roman"/>
                <w:sz w:val="24"/>
                <w:szCs w:val="24"/>
              </w:rPr>
              <w:t>1</w:t>
            </w:r>
            <w:r w:rsidR="00010A97" w:rsidRPr="003E22F5">
              <w:rPr>
                <w:rFonts w:ascii="Times New Roman" w:eastAsia="仿宋" w:hAnsi="Times New Roman"/>
                <w:sz w:val="24"/>
                <w:szCs w:val="24"/>
              </w:rPr>
              <w:t>、</w:t>
            </w:r>
            <w:r w:rsidR="00010A97" w:rsidRPr="003E22F5">
              <w:rPr>
                <w:rFonts w:ascii="Times New Roman" w:eastAsia="仿宋" w:hAnsi="Times New Roman" w:hint="eastAsia"/>
                <w:sz w:val="24"/>
                <w:szCs w:val="24"/>
              </w:rPr>
              <w:t>在同一相关市场，所有参与集中的经营者所占市场份额之和小于</w:t>
            </w:r>
            <w:r w:rsidR="00010A97" w:rsidRPr="003E22F5">
              <w:rPr>
                <w:rFonts w:ascii="Times New Roman" w:eastAsia="仿宋" w:hAnsi="Times New Roman" w:hint="eastAsia"/>
                <w:sz w:val="24"/>
                <w:szCs w:val="24"/>
              </w:rPr>
              <w:t>15%</w:t>
            </w:r>
            <w:r w:rsidR="00010A97" w:rsidRPr="003E22F5"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010A97" w:rsidRPr="003E22F5" w14:paraId="02C60097" w14:textId="77777777" w:rsidTr="002F5793">
        <w:trPr>
          <w:trHeight w:val="330"/>
        </w:trPr>
        <w:tc>
          <w:tcPr>
            <w:tcW w:w="2033" w:type="dxa"/>
            <w:vMerge/>
            <w:shd w:val="clear" w:color="auto" w:fill="D9D9D9"/>
          </w:tcPr>
          <w:p w14:paraId="3A558CA8" w14:textId="77777777" w:rsidR="00010A97" w:rsidRPr="003E22F5" w:rsidRDefault="00010A97" w:rsidP="002F5793">
            <w:pPr>
              <w:spacing w:beforeLines="25" w:before="78" w:afterLines="25" w:after="78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 w14:paraId="7F01CA97" w14:textId="29001E68" w:rsidR="00010A97" w:rsidRPr="003E22F5" w:rsidRDefault="00CE6769" w:rsidP="002F5793">
            <w:pPr>
              <w:spacing w:beforeLines="25" w:before="78" w:afterLines="25" w:after="78" w:line="28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CE6769">
              <w:rPr>
                <w:rFonts w:ascii="Wingdings" w:eastAsia="黑体" w:hAnsi="Wingdings"/>
                <w:szCs w:val="21"/>
              </w:rPr>
              <w:sym w:font="Wingdings" w:char="F0FE"/>
            </w:r>
            <w:r w:rsidRPr="00CE6769">
              <w:rPr>
                <w:rFonts w:ascii="Times New Roman" w:eastAsia="仿宋_GB2312" w:hAnsi="Times New Roman" w:hint="eastAsia"/>
                <w:sz w:val="22"/>
              </w:rPr>
              <w:t xml:space="preserve"> </w:t>
            </w:r>
            <w:r w:rsidR="00010A97" w:rsidRPr="003E22F5">
              <w:rPr>
                <w:rFonts w:ascii="Times New Roman" w:eastAsia="仿宋" w:hAnsi="Times New Roman"/>
                <w:sz w:val="24"/>
                <w:szCs w:val="24"/>
              </w:rPr>
              <w:t>2</w:t>
            </w:r>
            <w:r w:rsidR="00010A97" w:rsidRPr="003E22F5">
              <w:rPr>
                <w:rFonts w:ascii="Times New Roman" w:eastAsia="仿宋" w:hAnsi="Times New Roman"/>
                <w:sz w:val="24"/>
                <w:szCs w:val="24"/>
              </w:rPr>
              <w:t>、</w:t>
            </w:r>
            <w:r w:rsidR="00010A97" w:rsidRPr="003E22F5">
              <w:rPr>
                <w:rFonts w:ascii="Times New Roman" w:eastAsia="仿宋" w:hAnsi="Times New Roman" w:hint="eastAsia"/>
                <w:sz w:val="24"/>
                <w:szCs w:val="24"/>
              </w:rPr>
              <w:t>存在上下游关系的参与集中的经营者，在上下游市场所占的市场份额均小于</w:t>
            </w:r>
            <w:r w:rsidR="00010A97" w:rsidRPr="003E22F5">
              <w:rPr>
                <w:rFonts w:ascii="Times New Roman" w:eastAsia="仿宋" w:hAnsi="Times New Roman" w:hint="eastAsia"/>
                <w:sz w:val="24"/>
                <w:szCs w:val="24"/>
              </w:rPr>
              <w:t>25%</w:t>
            </w:r>
            <w:r w:rsidR="00010A97" w:rsidRPr="003E22F5"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010A97" w:rsidRPr="003E22F5" w14:paraId="3F8296FB" w14:textId="77777777" w:rsidTr="002F5793">
        <w:trPr>
          <w:trHeight w:val="285"/>
        </w:trPr>
        <w:tc>
          <w:tcPr>
            <w:tcW w:w="2033" w:type="dxa"/>
            <w:vMerge/>
            <w:shd w:val="clear" w:color="auto" w:fill="D9D9D9"/>
          </w:tcPr>
          <w:p w14:paraId="01114C8B" w14:textId="77777777" w:rsidR="00010A97" w:rsidRPr="003E22F5" w:rsidRDefault="00010A97" w:rsidP="002F5793">
            <w:pPr>
              <w:spacing w:beforeLines="25" w:before="78" w:afterLines="25" w:after="78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 w14:paraId="0FB22002" w14:textId="225D0E95" w:rsidR="00010A97" w:rsidRPr="003E22F5" w:rsidRDefault="00CE6769" w:rsidP="002F5793">
            <w:pPr>
              <w:spacing w:beforeLines="25" w:before="78" w:afterLines="25" w:after="78" w:line="28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3E22F5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="00010A97" w:rsidRPr="003E22F5">
              <w:rPr>
                <w:rFonts w:ascii="Times New Roman" w:eastAsia="仿宋" w:hAnsi="Times New Roman"/>
                <w:sz w:val="24"/>
                <w:szCs w:val="24"/>
              </w:rPr>
              <w:t>3</w:t>
            </w:r>
            <w:r w:rsidR="00010A97" w:rsidRPr="003E22F5">
              <w:rPr>
                <w:rFonts w:ascii="Times New Roman" w:eastAsia="仿宋" w:hAnsi="Times New Roman"/>
                <w:sz w:val="24"/>
                <w:szCs w:val="24"/>
              </w:rPr>
              <w:t>、</w:t>
            </w:r>
            <w:r w:rsidR="00010A97" w:rsidRPr="003E22F5">
              <w:rPr>
                <w:rFonts w:ascii="Times New Roman" w:eastAsia="仿宋" w:hAnsi="Times New Roman" w:hint="eastAsia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="00010A97" w:rsidRPr="003E22F5">
              <w:rPr>
                <w:rFonts w:ascii="Times New Roman" w:eastAsia="仿宋" w:hAnsi="Times New Roman" w:hint="eastAsia"/>
                <w:sz w:val="24"/>
                <w:szCs w:val="24"/>
              </w:rPr>
              <w:t>25%</w:t>
            </w:r>
            <w:r w:rsidR="00010A97" w:rsidRPr="003E22F5">
              <w:rPr>
                <w:rFonts w:ascii="Times New Roman" w:eastAsia="仿宋" w:hAnsi="Times New Roman" w:hint="eastAsia"/>
                <w:sz w:val="24"/>
                <w:szCs w:val="24"/>
              </w:rPr>
              <w:t>。</w:t>
            </w:r>
          </w:p>
        </w:tc>
      </w:tr>
      <w:tr w:rsidR="00010A97" w:rsidRPr="003E22F5" w14:paraId="058C4F09" w14:textId="77777777" w:rsidTr="002F5793">
        <w:trPr>
          <w:trHeight w:val="588"/>
        </w:trPr>
        <w:tc>
          <w:tcPr>
            <w:tcW w:w="2033" w:type="dxa"/>
            <w:vMerge/>
            <w:shd w:val="clear" w:color="auto" w:fill="D9D9D9"/>
          </w:tcPr>
          <w:p w14:paraId="0FE6F2FC" w14:textId="77777777" w:rsidR="00010A97" w:rsidRPr="003E22F5" w:rsidRDefault="00010A97" w:rsidP="002F5793">
            <w:pPr>
              <w:spacing w:beforeLines="25" w:before="78" w:afterLines="25" w:after="78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 w14:paraId="2A046465" w14:textId="68ACC615" w:rsidR="00010A97" w:rsidRPr="003E22F5" w:rsidRDefault="008A369D" w:rsidP="002F5793">
            <w:pPr>
              <w:spacing w:beforeLines="25" w:before="78" w:afterLines="25" w:after="78" w:line="280" w:lineRule="exact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3E22F5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="00010A97" w:rsidRPr="003E22F5">
              <w:rPr>
                <w:rFonts w:ascii="Times New Roman" w:eastAsia="仿宋" w:hAnsi="Times New Roman"/>
                <w:bCs/>
                <w:sz w:val="24"/>
                <w:szCs w:val="24"/>
              </w:rPr>
              <w:t>4</w:t>
            </w:r>
            <w:r w:rsidR="00010A97" w:rsidRPr="003E22F5">
              <w:rPr>
                <w:rFonts w:ascii="Times New Roman" w:eastAsia="仿宋" w:hAnsi="Times New Roman"/>
                <w:bCs/>
                <w:sz w:val="24"/>
                <w:szCs w:val="24"/>
              </w:rPr>
              <w:t>、</w:t>
            </w:r>
            <w:r w:rsidR="00010A97" w:rsidRPr="003E22F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010A97" w:rsidRPr="003E22F5" w14:paraId="0EF6CA48" w14:textId="77777777" w:rsidTr="002F5793">
        <w:trPr>
          <w:trHeight w:val="264"/>
        </w:trPr>
        <w:tc>
          <w:tcPr>
            <w:tcW w:w="2033" w:type="dxa"/>
            <w:vMerge/>
            <w:shd w:val="clear" w:color="auto" w:fill="D9D9D9"/>
          </w:tcPr>
          <w:p w14:paraId="72C0C5A9" w14:textId="77777777" w:rsidR="00010A97" w:rsidRPr="003E22F5" w:rsidRDefault="00010A97" w:rsidP="002F5793">
            <w:pPr>
              <w:spacing w:beforeLines="25" w:before="78" w:afterLines="25" w:after="78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 w14:paraId="686BE9D7" w14:textId="3D4912D6" w:rsidR="00010A97" w:rsidRPr="003E22F5" w:rsidRDefault="00AF1C57" w:rsidP="002F5793">
            <w:pPr>
              <w:spacing w:beforeLines="25" w:before="78" w:afterLines="25" w:after="78" w:line="28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3E22F5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="00010A97" w:rsidRPr="003E22F5"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 w:rsidR="00010A97" w:rsidRPr="003E22F5">
              <w:rPr>
                <w:rFonts w:ascii="Times New Roman" w:eastAsia="仿宋" w:hAnsi="Times New Roman"/>
                <w:sz w:val="24"/>
                <w:szCs w:val="24"/>
              </w:rPr>
              <w:t>、</w:t>
            </w:r>
            <w:r w:rsidR="00010A97" w:rsidRPr="003E22F5">
              <w:rPr>
                <w:rFonts w:ascii="Times New Roman" w:eastAsia="仿宋" w:hAnsi="Times New Roman" w:hint="eastAsia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</w:tc>
      </w:tr>
      <w:tr w:rsidR="00010A97" w:rsidRPr="003E22F5" w14:paraId="544AB2A4" w14:textId="77777777" w:rsidTr="002F5793">
        <w:trPr>
          <w:trHeight w:val="345"/>
        </w:trPr>
        <w:tc>
          <w:tcPr>
            <w:tcW w:w="2033" w:type="dxa"/>
            <w:vMerge/>
            <w:shd w:val="clear" w:color="auto" w:fill="D9D9D9"/>
          </w:tcPr>
          <w:p w14:paraId="2CBAD239" w14:textId="77777777" w:rsidR="00010A97" w:rsidRPr="003E22F5" w:rsidRDefault="00010A97" w:rsidP="002F5793">
            <w:pPr>
              <w:spacing w:beforeLines="25" w:before="78" w:afterLines="25" w:after="78"/>
              <w:rPr>
                <w:rFonts w:ascii="Times New Roman" w:eastAsia="仿宋" w:hAnsi="Times New Roman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shd w:val="clear" w:color="auto" w:fill="auto"/>
          </w:tcPr>
          <w:p w14:paraId="161F92AD" w14:textId="77777777" w:rsidR="00010A97" w:rsidRPr="003E22F5" w:rsidRDefault="00010A97" w:rsidP="002F5793">
            <w:pPr>
              <w:spacing w:beforeLines="25" w:before="78" w:afterLines="25" w:after="78" w:line="280" w:lineRule="exact"/>
              <w:rPr>
                <w:rFonts w:ascii="Times New Roman" w:eastAsia="仿宋" w:hAnsi="Times New Roman"/>
                <w:sz w:val="24"/>
                <w:szCs w:val="24"/>
              </w:rPr>
            </w:pPr>
            <w:r w:rsidRPr="003E22F5">
              <w:rPr>
                <w:rFonts w:ascii="Times New Roman" w:eastAsia="仿宋" w:hAnsi="Times New Roman"/>
                <w:sz w:val="24"/>
                <w:szCs w:val="24"/>
              </w:rPr>
              <w:t>□6</w:t>
            </w:r>
            <w:r w:rsidRPr="003E22F5">
              <w:rPr>
                <w:rFonts w:ascii="Times New Roman" w:eastAsia="仿宋" w:hAnsi="Times New Roman"/>
                <w:sz w:val="24"/>
                <w:szCs w:val="24"/>
              </w:rPr>
              <w:t>、</w:t>
            </w:r>
            <w:r w:rsidRPr="003E22F5">
              <w:rPr>
                <w:rFonts w:ascii="Times New Roman" w:eastAsia="仿宋" w:hAnsi="Times New Roman" w:hint="eastAsia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010A97" w:rsidRPr="003E22F5" w14:paraId="176E236C" w14:textId="77777777" w:rsidTr="002F5793">
        <w:tc>
          <w:tcPr>
            <w:tcW w:w="2033" w:type="dxa"/>
            <w:shd w:val="clear" w:color="auto" w:fill="D9D9D9"/>
          </w:tcPr>
          <w:p w14:paraId="50B41578" w14:textId="77777777" w:rsidR="00010A97" w:rsidRPr="003E22F5" w:rsidRDefault="00010A97" w:rsidP="002F5793">
            <w:pPr>
              <w:spacing w:beforeLines="25" w:before="78" w:afterLines="25" w:after="78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3E22F5">
              <w:rPr>
                <w:rFonts w:ascii="Times New Roman" w:eastAsia="仿宋" w:hAnsi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6725" w:type="dxa"/>
            <w:gridSpan w:val="2"/>
            <w:shd w:val="clear" w:color="auto" w:fill="auto"/>
          </w:tcPr>
          <w:p w14:paraId="2736A882" w14:textId="57F7405C" w:rsidR="00AF1C57" w:rsidRDefault="00AF1C57" w:rsidP="00AF1C57">
            <w:pPr>
              <w:spacing w:beforeLines="25" w:before="78" w:afterLines="25" w:after="78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3E22F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相关市场和交易双方的市场份额</w:t>
            </w:r>
            <w:r w:rsidR="003225D5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7A7C047" w14:textId="77777777" w:rsidR="00F54CF1" w:rsidRPr="003E22F5" w:rsidRDefault="00F54CF1" w:rsidP="00AF1C57">
            <w:pPr>
              <w:spacing w:beforeLines="25" w:before="78" w:afterLines="25" w:after="78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  <w:p w14:paraId="3AC0907E" w14:textId="5E59C189" w:rsidR="00AF1C57" w:rsidRPr="003E22F5" w:rsidRDefault="00F54CF1" w:rsidP="00AF1C57">
            <w:pPr>
              <w:spacing w:beforeLines="25" w:before="78" w:afterLines="25" w:after="78"/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  <w:u w:val="single"/>
              </w:rPr>
              <w:t>相关市场</w:t>
            </w:r>
            <w:r w:rsidR="00AF1C57" w:rsidRPr="003E22F5">
              <w:rPr>
                <w:rFonts w:ascii="Times New Roman" w:eastAsia="仿宋" w:hAnsi="Times New Roman" w:hint="eastAsia"/>
                <w:bCs/>
                <w:sz w:val="24"/>
                <w:szCs w:val="24"/>
                <w:u w:val="single"/>
              </w:rPr>
              <w:t>：</w:t>
            </w:r>
            <w:r w:rsidR="002F6291">
              <w:rPr>
                <w:rFonts w:ascii="Times New Roman" w:eastAsia="仿宋" w:hAnsi="Times New Roman" w:hint="eastAsia"/>
                <w:bCs/>
                <w:sz w:val="24"/>
                <w:szCs w:val="24"/>
                <w:u w:val="single"/>
              </w:rPr>
              <w:t>中国冷冻鸡肉市场</w:t>
            </w:r>
          </w:p>
          <w:p w14:paraId="1A26B36C" w14:textId="564D7EF1" w:rsidR="00F54CF1" w:rsidRPr="00940BA4" w:rsidRDefault="002F6291" w:rsidP="00940BA4">
            <w:pPr>
              <w:pStyle w:val="a9"/>
              <w:numPr>
                <w:ilvl w:val="0"/>
                <w:numId w:val="2"/>
              </w:numPr>
              <w:spacing w:beforeLines="25" w:before="78" w:afterLines="25" w:after="78"/>
              <w:ind w:firstLineChars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嘉吉</w:t>
            </w:r>
            <w:r w:rsidR="00B26599" w:rsidRPr="00940BA4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：</w:t>
            </w:r>
            <w:r w:rsidR="00B26599" w:rsidRPr="00940BA4">
              <w:rPr>
                <w:rFonts w:ascii="Times New Roman" w:eastAsia="仿宋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0-5</w:t>
            </w:r>
            <w:r w:rsidR="00B26599" w:rsidRPr="00940BA4">
              <w:rPr>
                <w:rFonts w:ascii="Times New Roman" w:eastAsia="仿宋" w:hAnsi="Times New Roman"/>
                <w:bCs/>
                <w:sz w:val="24"/>
                <w:szCs w:val="24"/>
              </w:rPr>
              <w:t>]%</w:t>
            </w:r>
          </w:p>
          <w:p w14:paraId="34629BC2" w14:textId="5EE44A04" w:rsidR="00940BA4" w:rsidRDefault="002F6291" w:rsidP="00940BA4">
            <w:pPr>
              <w:pStyle w:val="a9"/>
              <w:numPr>
                <w:ilvl w:val="0"/>
                <w:numId w:val="2"/>
              </w:numPr>
              <w:spacing w:beforeLines="25" w:before="78" w:afterLines="25" w:after="78"/>
              <w:ind w:firstLineChars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桑德森</w:t>
            </w:r>
            <w:r w:rsidR="00940BA4" w:rsidRPr="00940BA4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：</w:t>
            </w:r>
            <w:r w:rsidRPr="00940BA4">
              <w:rPr>
                <w:rFonts w:ascii="Times New Roman" w:eastAsia="仿宋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0-5</w:t>
            </w:r>
            <w:r w:rsidRPr="00940BA4">
              <w:rPr>
                <w:rFonts w:ascii="Times New Roman" w:eastAsia="仿宋" w:hAnsi="Times New Roman"/>
                <w:bCs/>
                <w:sz w:val="24"/>
                <w:szCs w:val="24"/>
              </w:rPr>
              <w:t>]%</w:t>
            </w:r>
          </w:p>
          <w:p w14:paraId="598D6740" w14:textId="76F8738F" w:rsidR="002F6291" w:rsidRDefault="002F6291" w:rsidP="00940BA4">
            <w:pPr>
              <w:pStyle w:val="a9"/>
              <w:numPr>
                <w:ilvl w:val="0"/>
                <w:numId w:val="2"/>
              </w:numPr>
              <w:spacing w:beforeLines="25" w:before="78" w:afterLines="25" w:after="78"/>
              <w:ind w:firstLineChars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合计</w:t>
            </w: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：</w:t>
            </w:r>
            <w:r w:rsidRPr="00940BA4">
              <w:rPr>
                <w:rFonts w:ascii="Times New Roman" w:eastAsia="仿宋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0-5</w:t>
            </w:r>
            <w:r w:rsidRPr="00940BA4">
              <w:rPr>
                <w:rFonts w:ascii="Times New Roman" w:eastAsia="仿宋" w:hAnsi="Times New Roman"/>
                <w:bCs/>
                <w:sz w:val="24"/>
                <w:szCs w:val="24"/>
              </w:rPr>
              <w:t>]%</w:t>
            </w:r>
          </w:p>
          <w:p w14:paraId="6DE42190" w14:textId="77777777" w:rsidR="002F6291" w:rsidRDefault="002F6291" w:rsidP="002F6291">
            <w:pPr>
              <w:spacing w:beforeLines="25" w:before="78" w:afterLines="25" w:after="78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  <w:p w14:paraId="30EECFBA" w14:textId="77777777" w:rsidR="002F6291" w:rsidRDefault="002F6291" w:rsidP="002F6291">
            <w:pPr>
              <w:spacing w:beforeLines="25" w:before="78" w:afterLines="25" w:after="78"/>
              <w:rPr>
                <w:rFonts w:ascii="Times New Roman" w:eastAsia="仿宋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  <w:u w:val="single"/>
              </w:rPr>
              <w:t>相关市场：中国鸡肉制品市场</w:t>
            </w:r>
          </w:p>
          <w:p w14:paraId="14C7DF7D" w14:textId="77777777" w:rsidR="002F6291" w:rsidRDefault="002F6291" w:rsidP="002F6291">
            <w:pPr>
              <w:pStyle w:val="a9"/>
              <w:numPr>
                <w:ilvl w:val="0"/>
                <w:numId w:val="2"/>
              </w:numPr>
              <w:spacing w:beforeLines="25" w:before="78" w:afterLines="25" w:after="78"/>
              <w:ind w:firstLineChars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嘉吉</w:t>
            </w:r>
            <w:r w:rsidRPr="00940BA4">
              <w:rPr>
                <w:rFonts w:ascii="Times New Roman" w:eastAsia="仿宋" w:hAnsi="Times New Roman" w:hint="eastAsia"/>
                <w:bCs/>
                <w:sz w:val="24"/>
                <w:szCs w:val="24"/>
              </w:rPr>
              <w:t>：</w:t>
            </w:r>
            <w:r w:rsidRPr="00940BA4">
              <w:rPr>
                <w:rFonts w:ascii="Times New Roman" w:eastAsia="仿宋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eastAsia="仿宋" w:hAnsi="Times New Roman"/>
                <w:bCs/>
                <w:sz w:val="24"/>
                <w:szCs w:val="24"/>
              </w:rPr>
              <w:t>0-5</w:t>
            </w:r>
            <w:r w:rsidRPr="00940BA4">
              <w:rPr>
                <w:rFonts w:ascii="Times New Roman" w:eastAsia="仿宋" w:hAnsi="Times New Roman"/>
                <w:bCs/>
                <w:sz w:val="24"/>
                <w:szCs w:val="24"/>
              </w:rPr>
              <w:t>]%</w:t>
            </w:r>
          </w:p>
          <w:p w14:paraId="05332DBB" w14:textId="0D4E6D68" w:rsidR="002F6291" w:rsidRPr="002F6291" w:rsidRDefault="002F6291" w:rsidP="007938D0">
            <w:pPr>
              <w:pStyle w:val="a9"/>
              <w:spacing w:beforeLines="25" w:before="78" w:afterLines="25" w:after="78"/>
              <w:ind w:left="420" w:firstLineChars="0" w:firstLine="0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</w:tbl>
    <w:p w14:paraId="77519A75" w14:textId="77777777" w:rsidR="00010A97" w:rsidRPr="003E22F5" w:rsidRDefault="00010A97" w:rsidP="00010A97">
      <w:pPr>
        <w:rPr>
          <w:rFonts w:ascii="Times New Roman" w:eastAsia="仿宋" w:hAnsi="Times New Roman"/>
          <w:sz w:val="24"/>
        </w:rPr>
      </w:pPr>
    </w:p>
    <w:p w14:paraId="25069812" w14:textId="657F1E03" w:rsidR="00672A8C" w:rsidRPr="003E22F5" w:rsidRDefault="003E5A60">
      <w:pPr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 xml:space="preserve"> </w:t>
      </w:r>
    </w:p>
    <w:sectPr w:rsidR="00672A8C" w:rsidRPr="003E22F5" w:rsidSect="0017448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4E081" w14:textId="77777777" w:rsidR="003568CD" w:rsidRDefault="003568CD" w:rsidP="00010A97">
      <w:r>
        <w:separator/>
      </w:r>
    </w:p>
  </w:endnote>
  <w:endnote w:type="continuationSeparator" w:id="0">
    <w:p w14:paraId="06DB4937" w14:textId="77777777" w:rsidR="003568CD" w:rsidRDefault="003568CD" w:rsidP="000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조선일보명조">
    <w:altName w:val="Arial Unicode MS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8E2F" w14:textId="77777777" w:rsidR="00174483" w:rsidRPr="00DC0400" w:rsidRDefault="00010A97">
    <w:pPr>
      <w:pStyle w:val="a4"/>
      <w:jc w:val="center"/>
      <w:rPr>
        <w:rFonts w:ascii="Times New Roman" w:hAnsi="Times New Roman"/>
      </w:rPr>
    </w:pPr>
    <w:r w:rsidRPr="00DC0400">
      <w:rPr>
        <w:rFonts w:ascii="Times New Roman" w:hAnsi="Times New Roman"/>
      </w:rPr>
      <w:fldChar w:fldCharType="begin"/>
    </w:r>
    <w:r w:rsidRPr="00DC0400">
      <w:rPr>
        <w:rFonts w:ascii="Times New Roman" w:hAnsi="Times New Roman"/>
      </w:rPr>
      <w:instrText>PAGE   \* MERGEFORMAT</w:instrText>
    </w:r>
    <w:r w:rsidRPr="00DC0400">
      <w:rPr>
        <w:rFonts w:ascii="Times New Roman" w:hAnsi="Times New Roman"/>
      </w:rPr>
      <w:fldChar w:fldCharType="separate"/>
    </w:r>
    <w:r w:rsidR="003225D5" w:rsidRPr="003225D5">
      <w:rPr>
        <w:rFonts w:ascii="Times New Roman" w:hAnsi="Times New Roman"/>
        <w:noProof/>
        <w:lang w:val="zh-CN"/>
      </w:rPr>
      <w:t>1</w:t>
    </w:r>
    <w:r w:rsidRPr="00DC0400">
      <w:rPr>
        <w:rFonts w:ascii="Times New Roman" w:hAnsi="Times New Roman"/>
      </w:rPr>
      <w:fldChar w:fldCharType="end"/>
    </w:r>
  </w:p>
  <w:p w14:paraId="42D36FF9" w14:textId="77777777" w:rsidR="00174483" w:rsidRDefault="003568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5E0C6" w14:textId="77777777" w:rsidR="003568CD" w:rsidRDefault="003568CD" w:rsidP="00010A97">
      <w:r>
        <w:separator/>
      </w:r>
    </w:p>
  </w:footnote>
  <w:footnote w:type="continuationSeparator" w:id="0">
    <w:p w14:paraId="35C0C997" w14:textId="77777777" w:rsidR="003568CD" w:rsidRDefault="003568CD" w:rsidP="0001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F6B80" w14:textId="77777777" w:rsidR="00174483" w:rsidRPr="009D0534" w:rsidRDefault="003568CD" w:rsidP="00174483">
    <w:pPr>
      <w:pStyle w:val="a3"/>
      <w:wordWrap w:val="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898"/>
    <w:multiLevelType w:val="hybridMultilevel"/>
    <w:tmpl w:val="BA920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FC1A5C"/>
    <w:multiLevelType w:val="hybridMultilevel"/>
    <w:tmpl w:val="E82A23AE"/>
    <w:lvl w:ilvl="0" w:tplc="3ED4D940">
      <w:start w:val="1"/>
      <w:numFmt w:val="bullet"/>
      <w:lvlText w:val="-"/>
      <w:lvlJc w:val="right"/>
      <w:pPr>
        <w:ind w:left="420" w:hanging="420"/>
      </w:pPr>
      <w:rPr>
        <w:rFonts w:ascii="조선일보명조" w:eastAsia="조선일보명조" w:hAnsi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2756A"/>
    <w:multiLevelType w:val="hybridMultilevel"/>
    <w:tmpl w:val="919440F8"/>
    <w:lvl w:ilvl="0" w:tplc="87FC75DA">
      <w:numFmt w:val="bullet"/>
      <w:lvlText w:val="-"/>
      <w:lvlJc w:val="left"/>
      <w:pPr>
        <w:ind w:left="720" w:hanging="720"/>
      </w:pPr>
      <w:rPr>
        <w:rFonts w:ascii="Times New Roman" w:eastAsia="仿宋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7C"/>
    <w:rsid w:val="00010A97"/>
    <w:rsid w:val="00014968"/>
    <w:rsid w:val="00022933"/>
    <w:rsid w:val="0004127C"/>
    <w:rsid w:val="00045D7F"/>
    <w:rsid w:val="000950A2"/>
    <w:rsid w:val="00126D4C"/>
    <w:rsid w:val="001A7E88"/>
    <w:rsid w:val="002254A1"/>
    <w:rsid w:val="002D4678"/>
    <w:rsid w:val="002F6291"/>
    <w:rsid w:val="003225D5"/>
    <w:rsid w:val="003568CD"/>
    <w:rsid w:val="003E22F5"/>
    <w:rsid w:val="003E5A60"/>
    <w:rsid w:val="00463D4B"/>
    <w:rsid w:val="004B377E"/>
    <w:rsid w:val="00582BE9"/>
    <w:rsid w:val="005D7960"/>
    <w:rsid w:val="00637950"/>
    <w:rsid w:val="006575A9"/>
    <w:rsid w:val="00672A8C"/>
    <w:rsid w:val="00686063"/>
    <w:rsid w:val="006A7C0A"/>
    <w:rsid w:val="00701BC3"/>
    <w:rsid w:val="007938D0"/>
    <w:rsid w:val="007E1612"/>
    <w:rsid w:val="00856BB5"/>
    <w:rsid w:val="008A0365"/>
    <w:rsid w:val="008A369D"/>
    <w:rsid w:val="008F3FF3"/>
    <w:rsid w:val="00940BA4"/>
    <w:rsid w:val="009A1A7B"/>
    <w:rsid w:val="009E29DF"/>
    <w:rsid w:val="009F0FDB"/>
    <w:rsid w:val="00AF1C57"/>
    <w:rsid w:val="00B26599"/>
    <w:rsid w:val="00BD1BA8"/>
    <w:rsid w:val="00C34F0D"/>
    <w:rsid w:val="00CE6769"/>
    <w:rsid w:val="00D04B4C"/>
    <w:rsid w:val="00D4295A"/>
    <w:rsid w:val="00D77675"/>
    <w:rsid w:val="00DC50F5"/>
    <w:rsid w:val="00DD1677"/>
    <w:rsid w:val="00E27DE4"/>
    <w:rsid w:val="00E67E26"/>
    <w:rsid w:val="00E834EA"/>
    <w:rsid w:val="00E97169"/>
    <w:rsid w:val="00EE75E0"/>
    <w:rsid w:val="00F11A3B"/>
    <w:rsid w:val="00F5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1C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9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A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A97"/>
    <w:rPr>
      <w:sz w:val="18"/>
      <w:szCs w:val="18"/>
    </w:rPr>
  </w:style>
  <w:style w:type="character" w:customStyle="1" w:styleId="1">
    <w:name w:val="页眉 字符1"/>
    <w:basedOn w:val="a0"/>
    <w:uiPriority w:val="99"/>
    <w:rsid w:val="00010A97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D467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D467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D4678"/>
    <w:rPr>
      <w:rFonts w:ascii="Calibri" w:eastAsia="宋体" w:hAnsi="Calibri" w:cs="Times New Roman"/>
      <w:kern w:val="2"/>
      <w:sz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D467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D4678"/>
    <w:rPr>
      <w:rFonts w:ascii="Calibri" w:eastAsia="宋体" w:hAnsi="Calibri" w:cs="Times New Roman"/>
      <w:b/>
      <w:bCs/>
      <w:kern w:val="2"/>
      <w:sz w:val="21"/>
    </w:rPr>
  </w:style>
  <w:style w:type="paragraph" w:styleId="a8">
    <w:name w:val="Balloon Text"/>
    <w:basedOn w:val="a"/>
    <w:link w:val="Char3"/>
    <w:uiPriority w:val="99"/>
    <w:semiHidden/>
    <w:unhideWhenUsed/>
    <w:rsid w:val="002D467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D4678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40B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2021-08-16T02:25:00Z</dcterms:created>
  <dcterms:modified xsi:type="dcterms:W3CDTF">2021-09-07T06:01:00Z</dcterms:modified>
</cp:coreProperties>
</file>