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1436F" w14:textId="430588D4" w:rsidR="00CB00DF" w:rsidRPr="00450995" w:rsidRDefault="00CB00DF" w:rsidP="00A966A1">
      <w:pPr>
        <w:snapToGrid w:val="0"/>
        <w:spacing w:before="100" w:beforeAutospacing="1" w:after="100" w:afterAutospacing="1"/>
        <w:jc w:val="center"/>
        <w:rPr>
          <w:rFonts w:ascii="宋体" w:hAnsi="宋体"/>
          <w:b/>
          <w:szCs w:val="21"/>
        </w:rPr>
      </w:pPr>
      <w:r w:rsidRPr="00450995">
        <w:rPr>
          <w:rFonts w:ascii="宋体" w:hAnsi="宋体" w:hint="eastAsia"/>
          <w:b/>
          <w:sz w:val="30"/>
          <w:szCs w:val="30"/>
        </w:rPr>
        <w:t>经营者集中简易案件公示表</w:t>
      </w:r>
    </w:p>
    <w:p w14:paraId="0924C54E" w14:textId="77777777" w:rsidR="00CB00DF" w:rsidRPr="000A2E2F" w:rsidRDefault="00CB00DF" w:rsidP="00ED71CA">
      <w:pPr>
        <w:spacing w:line="440" w:lineRule="exact"/>
        <w:jc w:val="center"/>
        <w:rPr>
          <w:rFonts w:ascii="宋体" w:hAnsi="宋体"/>
          <w:sz w:val="22"/>
        </w:rPr>
      </w:pPr>
    </w:p>
    <w:tbl>
      <w:tblPr>
        <w:tblW w:w="90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59"/>
        <w:gridCol w:w="5644"/>
      </w:tblGrid>
      <w:tr w:rsidR="00450995" w:rsidRPr="00450995" w14:paraId="6A5635E8" w14:textId="77777777" w:rsidTr="00B00B81">
        <w:tc>
          <w:tcPr>
            <w:tcW w:w="1844" w:type="dxa"/>
            <w:shd w:val="clear" w:color="auto" w:fill="D9D9D9"/>
            <w:vAlign w:val="center"/>
          </w:tcPr>
          <w:p w14:paraId="62B1FBDA" w14:textId="77777777" w:rsidR="00CB00DF" w:rsidRPr="00450995" w:rsidRDefault="00CB00DF" w:rsidP="00CB00D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案件名称</w:t>
            </w:r>
          </w:p>
        </w:tc>
        <w:tc>
          <w:tcPr>
            <w:tcW w:w="7203" w:type="dxa"/>
            <w:gridSpan w:val="2"/>
          </w:tcPr>
          <w:p w14:paraId="6117D513" w14:textId="27BEEA4E" w:rsidR="00CB00DF" w:rsidRPr="00450995" w:rsidRDefault="002C1244" w:rsidP="006908A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SK革新株式会社与惠州亿</w:t>
            </w:r>
            <w:proofErr w:type="gramStart"/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纬锂能股份有限公司</w:t>
            </w:r>
            <w:proofErr w:type="gramEnd"/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收购常州市贝特瑞新材料科技有限公司股权案</w:t>
            </w:r>
          </w:p>
        </w:tc>
      </w:tr>
      <w:tr w:rsidR="00450995" w:rsidRPr="00450995" w14:paraId="07CB7F15" w14:textId="77777777" w:rsidTr="00AA7955">
        <w:trPr>
          <w:trHeight w:val="993"/>
        </w:trPr>
        <w:tc>
          <w:tcPr>
            <w:tcW w:w="1844" w:type="dxa"/>
            <w:shd w:val="clear" w:color="auto" w:fill="D9D9D9"/>
            <w:vAlign w:val="center"/>
          </w:tcPr>
          <w:p w14:paraId="085EF6BA" w14:textId="77777777" w:rsidR="002C1244" w:rsidRPr="00450995" w:rsidRDefault="002C1244" w:rsidP="002C12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交易概况</w:t>
            </w:r>
          </w:p>
          <w:p w14:paraId="3E2BF132" w14:textId="77777777" w:rsidR="002C1244" w:rsidRPr="00450995" w:rsidRDefault="002C1244" w:rsidP="002C12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（限200字内）</w:t>
            </w:r>
          </w:p>
        </w:tc>
        <w:tc>
          <w:tcPr>
            <w:tcW w:w="7203" w:type="dxa"/>
            <w:gridSpan w:val="2"/>
            <w:vAlign w:val="center"/>
          </w:tcPr>
          <w:p w14:paraId="36D0EAC6" w14:textId="06EA4A21" w:rsidR="002C1244" w:rsidRPr="00450995" w:rsidRDefault="00CB109E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韩国</w:t>
            </w:r>
            <w:r w:rsidR="002C1244"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SK革新株式会社（“</w:t>
            </w:r>
            <w:r w:rsidR="002C1244" w:rsidRPr="00ED71CA">
              <w:rPr>
                <w:rFonts w:ascii="宋体" w:hAnsi="宋体" w:cs="宋体" w:hint="eastAsia"/>
                <w:b/>
                <w:bCs/>
                <w:kern w:val="0"/>
                <w:sz w:val="22"/>
                <w:bdr w:val="none" w:sz="0" w:space="0" w:color="auto" w:frame="1"/>
              </w:rPr>
              <w:t>S</w:t>
            </w:r>
            <w:r w:rsidR="002C1244" w:rsidRPr="00ED71CA">
              <w:rPr>
                <w:rFonts w:ascii="宋体" w:hAnsi="宋体" w:cs="宋体"/>
                <w:b/>
                <w:bCs/>
                <w:kern w:val="0"/>
                <w:sz w:val="22"/>
                <w:bdr w:val="none" w:sz="0" w:space="0" w:color="auto" w:frame="1"/>
              </w:rPr>
              <w:t>KI</w:t>
            </w:r>
            <w:r w:rsidR="002C1244"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”）、惠州亿</w:t>
            </w:r>
            <w:proofErr w:type="gramStart"/>
            <w:r w:rsidR="002C1244"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纬锂能股份有限公司</w:t>
            </w:r>
            <w:proofErr w:type="gramEnd"/>
            <w:r w:rsidR="002C1244"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（“</w:t>
            </w:r>
            <w:r w:rsidR="002C1244" w:rsidRPr="00ED71CA">
              <w:rPr>
                <w:rFonts w:ascii="宋体" w:hAnsi="宋体" w:cs="宋体" w:hint="eastAsia"/>
                <w:b/>
                <w:bCs/>
                <w:kern w:val="0"/>
                <w:sz w:val="22"/>
                <w:bdr w:val="none" w:sz="0" w:space="0" w:color="auto" w:frame="1"/>
              </w:rPr>
              <w:t>E</w:t>
            </w:r>
            <w:r w:rsidR="002C1244" w:rsidRPr="00ED71CA">
              <w:rPr>
                <w:rFonts w:ascii="宋体" w:hAnsi="宋体" w:cs="宋体"/>
                <w:b/>
                <w:bCs/>
                <w:kern w:val="0"/>
                <w:sz w:val="22"/>
                <w:bdr w:val="none" w:sz="0" w:space="0" w:color="auto" w:frame="1"/>
              </w:rPr>
              <w:t>VE</w:t>
            </w:r>
            <w:r w:rsidR="002C1244"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”</w:t>
            </w:r>
            <w:r w:rsidR="00E849EC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，</w:t>
            </w:r>
            <w:r w:rsidR="00E849EC"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通过</w:t>
            </w:r>
            <w:r w:rsidR="00E849EC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其</w:t>
            </w:r>
            <w:r w:rsidR="00A4373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控股</w:t>
            </w:r>
            <w:r w:rsidR="00E849EC"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公司-亿纬动力香港有限公司</w:t>
            </w:r>
            <w:r w:rsidR="002C1244"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）收购常州市贝特瑞新材料科技有限公司(“</w:t>
            </w:r>
            <w:r w:rsidR="002C1244" w:rsidRPr="00ED71CA">
              <w:rPr>
                <w:rFonts w:ascii="宋体" w:hAnsi="宋体" w:cs="宋体" w:hint="eastAsia"/>
                <w:b/>
                <w:bCs/>
                <w:kern w:val="0"/>
                <w:sz w:val="22"/>
                <w:bdr w:val="none" w:sz="0" w:space="0" w:color="auto" w:frame="1"/>
              </w:rPr>
              <w:t>目标公司</w:t>
            </w:r>
            <w:r w:rsidR="002C1244"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”</w:t>
            </w:r>
            <w:r w:rsidR="002C1244" w:rsidRPr="00450995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)</w:t>
            </w:r>
            <w:r w:rsidR="002C1244"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新增注册资本</w:t>
            </w:r>
            <w:r w:rsidR="00124A1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[</w:t>
            </w:r>
            <w:r w:rsidR="00762C02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同时，</w:t>
            </w:r>
            <w:r w:rsidR="0070247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目标公司的</w:t>
            </w:r>
            <w:r w:rsidR="00762C02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原股东-</w:t>
            </w:r>
            <w:r w:rsidR="00762C02" w:rsidRPr="00450995">
              <w:rPr>
                <w:rFonts w:ascii="宋体" w:hAnsi="宋体" w:cs="宋体" w:hint="eastAsia"/>
                <w:kern w:val="0"/>
                <w:sz w:val="22"/>
              </w:rPr>
              <w:t>贝特瑞（江苏）新材料科技有限公司（“</w:t>
            </w:r>
            <w:r w:rsidR="00762C02" w:rsidRPr="00ED71C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B</w:t>
            </w:r>
            <w:r w:rsidR="00762C02" w:rsidRPr="00ED71CA">
              <w:rPr>
                <w:rFonts w:ascii="宋体" w:hAnsi="宋体" w:cs="宋体"/>
                <w:b/>
                <w:bCs/>
                <w:kern w:val="0"/>
                <w:sz w:val="22"/>
              </w:rPr>
              <w:t>TR</w:t>
            </w:r>
            <w:r w:rsidR="00762C02" w:rsidRPr="00450995">
              <w:rPr>
                <w:rFonts w:ascii="宋体" w:hAnsi="宋体" w:cs="宋体" w:hint="eastAsia"/>
                <w:kern w:val="0"/>
                <w:sz w:val="22"/>
              </w:rPr>
              <w:t>”）</w:t>
            </w:r>
            <w:r w:rsidR="00762C02">
              <w:rPr>
                <w:rFonts w:ascii="宋体" w:hAnsi="宋体" w:cs="宋体" w:hint="eastAsia"/>
                <w:kern w:val="0"/>
                <w:sz w:val="22"/>
              </w:rPr>
              <w:t>也认购部分新增注册资本</w:t>
            </w:r>
            <w:r w:rsidR="00124A15">
              <w:rPr>
                <w:rFonts w:ascii="宋体" w:hAnsi="宋体" w:cs="宋体" w:hint="eastAsia"/>
                <w:kern w:val="0"/>
                <w:sz w:val="22"/>
              </w:rPr>
              <w:t>]</w:t>
            </w:r>
            <w:r w:rsidR="002C1244" w:rsidRPr="00ED71CA">
              <w:rPr>
                <w:rFonts w:ascii="宋体" w:hAnsi="宋体" w:cs="宋体" w:hint="eastAsia"/>
                <w:kern w:val="0"/>
                <w:sz w:val="22"/>
              </w:rPr>
              <w:t>。</w:t>
            </w:r>
            <w:r w:rsidR="00D37553" w:rsidRPr="00ED71CA">
              <w:rPr>
                <w:rFonts w:ascii="宋体" w:hAnsi="宋体" w:cs="宋体" w:hint="eastAsia"/>
                <w:kern w:val="0"/>
                <w:sz w:val="22"/>
              </w:rPr>
              <w:t>本次交易前，目标公司由B</w:t>
            </w:r>
            <w:r w:rsidR="00D37553" w:rsidRPr="00ED71CA">
              <w:rPr>
                <w:rFonts w:ascii="宋体" w:hAnsi="宋体" w:cs="宋体"/>
                <w:kern w:val="0"/>
                <w:sz w:val="22"/>
              </w:rPr>
              <w:t>TR</w:t>
            </w:r>
            <w:r w:rsidR="00D37553" w:rsidRPr="00ED71CA">
              <w:rPr>
                <w:rFonts w:ascii="宋体" w:hAnsi="宋体" w:cs="宋体" w:hint="eastAsia"/>
                <w:kern w:val="0"/>
                <w:sz w:val="22"/>
              </w:rPr>
              <w:t>单独控制；本次交易完成后，目标公司将由B</w:t>
            </w:r>
            <w:r w:rsidR="00D37553" w:rsidRPr="00ED71CA">
              <w:rPr>
                <w:rFonts w:ascii="宋体" w:hAnsi="宋体" w:cs="宋体"/>
                <w:kern w:val="0"/>
                <w:sz w:val="22"/>
              </w:rPr>
              <w:t>TR</w:t>
            </w:r>
            <w:r w:rsidR="00D37553" w:rsidRPr="00ED71CA">
              <w:rPr>
                <w:rFonts w:ascii="宋体" w:hAnsi="宋体" w:cs="宋体" w:hint="eastAsia"/>
                <w:kern w:val="0"/>
                <w:sz w:val="22"/>
              </w:rPr>
              <w:t>、S</w:t>
            </w:r>
            <w:r w:rsidR="00D37553" w:rsidRPr="00ED71CA">
              <w:rPr>
                <w:rFonts w:ascii="宋体" w:hAnsi="宋体" w:cs="宋体"/>
                <w:kern w:val="0"/>
                <w:sz w:val="22"/>
              </w:rPr>
              <w:t>KI</w:t>
            </w:r>
            <w:r w:rsidR="00D37553" w:rsidRPr="00ED71CA">
              <w:rPr>
                <w:rFonts w:ascii="宋体" w:hAnsi="宋体" w:cs="宋体" w:hint="eastAsia"/>
                <w:kern w:val="0"/>
                <w:sz w:val="22"/>
              </w:rPr>
              <w:t>和E</w:t>
            </w:r>
            <w:r w:rsidR="00D37553" w:rsidRPr="00ED71CA">
              <w:rPr>
                <w:rFonts w:ascii="宋体" w:hAnsi="宋体" w:cs="宋体"/>
                <w:kern w:val="0"/>
                <w:sz w:val="22"/>
              </w:rPr>
              <w:t>VE</w:t>
            </w:r>
            <w:r w:rsidR="00D37553" w:rsidRPr="00ED71CA">
              <w:rPr>
                <w:rFonts w:ascii="宋体" w:hAnsi="宋体" w:cs="宋体" w:hint="eastAsia"/>
                <w:kern w:val="0"/>
                <w:sz w:val="22"/>
              </w:rPr>
              <w:t>三方共同控制。</w:t>
            </w:r>
          </w:p>
        </w:tc>
      </w:tr>
      <w:tr w:rsidR="00450995" w:rsidRPr="00450995" w14:paraId="0B0D013D" w14:textId="77777777" w:rsidTr="005456FC">
        <w:trPr>
          <w:trHeight w:val="468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 w14:paraId="24D6F13E" w14:textId="77777777" w:rsidR="002C1244" w:rsidRPr="00450995" w:rsidRDefault="002C1244" w:rsidP="002C12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参与集中的</w:t>
            </w:r>
          </w:p>
          <w:p w14:paraId="64F19C3B" w14:textId="77777777" w:rsidR="002C1244" w:rsidRPr="00450995" w:rsidRDefault="002C1244" w:rsidP="002C12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经营者简介</w:t>
            </w:r>
          </w:p>
        </w:tc>
        <w:tc>
          <w:tcPr>
            <w:tcW w:w="1559" w:type="dxa"/>
          </w:tcPr>
          <w:p w14:paraId="240372EE" w14:textId="6535DF5F" w:rsidR="002C1244" w:rsidRPr="00450995" w:rsidRDefault="002C1244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1、B</w:t>
            </w:r>
            <w:r w:rsidRPr="00450995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TR</w:t>
            </w:r>
          </w:p>
        </w:tc>
        <w:tc>
          <w:tcPr>
            <w:tcW w:w="5644" w:type="dxa"/>
          </w:tcPr>
          <w:p w14:paraId="335CD2BA" w14:textId="23A0CD7B" w:rsidR="002C1244" w:rsidRPr="00450995" w:rsidRDefault="002C1244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B</w:t>
            </w:r>
            <w:r w:rsidRPr="00450995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TR</w:t>
            </w:r>
            <w:r w:rsidR="00CB109E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成立于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2</w:t>
            </w:r>
            <w:r w:rsidR="00CB109E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017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年</w:t>
            </w:r>
            <w:r w:rsidR="00CB109E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01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月</w:t>
            </w:r>
            <w:r w:rsidR="00CB109E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16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日，</w:t>
            </w:r>
            <w:r w:rsidR="007A11B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注册</w:t>
            </w:r>
            <w:r w:rsidR="006142C2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在</w:t>
            </w:r>
            <w:r w:rsidR="007A11BA" w:rsidRPr="00B77C7E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中国</w:t>
            </w:r>
            <w:r w:rsidR="007A11BA" w:rsidRPr="00B77C7E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江苏</w:t>
            </w:r>
            <w:r w:rsidR="007A11BA" w:rsidRPr="00B77C7E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省</w:t>
            </w:r>
            <w:r w:rsidR="007A11BA" w:rsidRPr="00B77C7E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常州市金坛区，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其</w:t>
            </w: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主营业务为正极材料（</w:t>
            </w:r>
            <w:r w:rsidR="00BA5314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三元正极材料镍钴锰酸锂</w:t>
            </w: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、磷酸铁锂正极材料）</w:t>
            </w:r>
            <w:r w:rsidR="00CB109E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的</w:t>
            </w: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研发、生产与销售。</w:t>
            </w:r>
          </w:p>
        </w:tc>
      </w:tr>
      <w:tr w:rsidR="00450995" w:rsidRPr="00450995" w14:paraId="1BBAF0B9" w14:textId="77777777" w:rsidTr="00331147">
        <w:trPr>
          <w:trHeight w:val="1040"/>
        </w:trPr>
        <w:tc>
          <w:tcPr>
            <w:tcW w:w="1844" w:type="dxa"/>
            <w:vMerge/>
            <w:shd w:val="clear" w:color="auto" w:fill="D9D9D9"/>
            <w:vAlign w:val="center"/>
          </w:tcPr>
          <w:p w14:paraId="0CF54892" w14:textId="77777777" w:rsidR="002C1244" w:rsidRPr="00450995" w:rsidRDefault="002C1244" w:rsidP="002C12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14:paraId="38EDC07D" w14:textId="48654D0A" w:rsidR="002C1244" w:rsidRPr="00450995" w:rsidRDefault="00B903B4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2</w:t>
            </w:r>
            <w:r w:rsidR="002C1244"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S</w:t>
            </w:r>
            <w:r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KI</w:t>
            </w:r>
          </w:p>
        </w:tc>
        <w:tc>
          <w:tcPr>
            <w:tcW w:w="5644" w:type="dxa"/>
          </w:tcPr>
          <w:p w14:paraId="13FE3EC6" w14:textId="131EE113" w:rsidR="002C1244" w:rsidRPr="00450995" w:rsidRDefault="00B903B4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SKI</w:t>
            </w:r>
            <w:r w:rsidR="00CB109E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成立于</w:t>
            </w:r>
            <w:r w:rsidR="00CB109E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1962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年</w:t>
            </w:r>
            <w:r w:rsidR="00CB109E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10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月1</w:t>
            </w:r>
            <w:r w:rsidR="00CB109E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3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日</w:t>
            </w: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，</w:t>
            </w:r>
            <w:r w:rsidR="00CB109E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注册在韩国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（</w:t>
            </w:r>
            <w:r w:rsidR="00CB109E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1984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年</w:t>
            </w:r>
            <w:r w:rsidR="00CB109E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11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月</w:t>
            </w:r>
            <w:r w:rsidR="00CB109E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12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日在韩国证券交易所上市）</w:t>
            </w:r>
            <w:r w:rsidR="00CB109E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，其</w:t>
            </w: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主营业务为</w:t>
            </w:r>
            <w:r w:rsidR="00CB109E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锂离子</w:t>
            </w: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动力</w:t>
            </w:r>
            <w:r w:rsidR="00CB109E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/</w:t>
            </w: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储能电池的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生产与销售、对子公司进行控股及</w:t>
            </w:r>
            <w:r w:rsidR="00D737C3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石油</w:t>
            </w:r>
            <w:r w:rsidR="00CB109E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勘探和开发。</w:t>
            </w:r>
          </w:p>
        </w:tc>
      </w:tr>
      <w:tr w:rsidR="00450995" w:rsidRPr="00450995" w14:paraId="170DAF2B" w14:textId="77777777" w:rsidTr="00331147">
        <w:trPr>
          <w:trHeight w:val="1040"/>
        </w:trPr>
        <w:tc>
          <w:tcPr>
            <w:tcW w:w="1844" w:type="dxa"/>
            <w:vMerge/>
            <w:shd w:val="clear" w:color="auto" w:fill="D9D9D9"/>
            <w:vAlign w:val="center"/>
          </w:tcPr>
          <w:p w14:paraId="38BD2E28" w14:textId="77777777" w:rsidR="002C1244" w:rsidRPr="00450995" w:rsidRDefault="002C1244" w:rsidP="002C12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14:paraId="4CA08B26" w14:textId="6B527203" w:rsidR="002C1244" w:rsidRPr="00450995" w:rsidRDefault="00B903B4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3</w:t>
            </w:r>
            <w:r w:rsidR="002C1244"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、</w:t>
            </w:r>
            <w:r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EVE</w:t>
            </w:r>
          </w:p>
        </w:tc>
        <w:tc>
          <w:tcPr>
            <w:tcW w:w="5644" w:type="dxa"/>
          </w:tcPr>
          <w:p w14:paraId="460709BF" w14:textId="42A80DC5" w:rsidR="002C1244" w:rsidRPr="00450995" w:rsidRDefault="00B903B4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EVE</w:t>
            </w:r>
            <w:r w:rsidR="00857C7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成立于</w:t>
            </w:r>
            <w:r w:rsidR="00857C7A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2001</w:t>
            </w:r>
            <w:r w:rsidR="00857C7A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年1</w:t>
            </w:r>
            <w:r w:rsidR="00857C7A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2</w:t>
            </w:r>
            <w:r w:rsidR="00857C7A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月24日</w:t>
            </w:r>
            <w:r w:rsidR="000B1812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，注册在中国</w:t>
            </w:r>
            <w:r w:rsidR="000B1812" w:rsidRPr="00965A34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广东省惠州市仲恺高新区</w:t>
            </w:r>
            <w:r w:rsidR="00857C7A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（</w:t>
            </w:r>
            <w:r w:rsidR="00857C7A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2009</w:t>
            </w:r>
            <w:r w:rsidR="00857C7A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年1</w:t>
            </w:r>
            <w:r w:rsidR="00857C7A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0</w:t>
            </w:r>
            <w:r w:rsidR="00857C7A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月3</w:t>
            </w:r>
            <w:r w:rsidR="00857C7A" w:rsidRPr="00ED71CA"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  <w:t>0</w:t>
            </w:r>
            <w:r w:rsidR="00857C7A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日在深圳交易所上市），其</w:t>
            </w: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主营业务为</w:t>
            </w:r>
            <w:r w:rsidR="00857C7A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锂原电池、消费类锂离子电池</w:t>
            </w:r>
            <w:r w:rsidR="008A3C88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和</w:t>
            </w:r>
            <w:proofErr w:type="gramStart"/>
            <w:r w:rsidR="008A3C88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锂离子</w:t>
            </w:r>
            <w:proofErr w:type="gramEnd"/>
            <w:r w:rsidR="00857C7A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动力</w:t>
            </w:r>
            <w:r w:rsidR="008A3C88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/</w:t>
            </w:r>
            <w:r w:rsidR="00857C7A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储能电池的研发、生产</w:t>
            </w:r>
            <w:r w:rsidR="008A3C88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与</w:t>
            </w:r>
            <w:r w:rsidR="00857C7A" w:rsidRPr="00ED71CA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销售。</w:t>
            </w:r>
          </w:p>
        </w:tc>
      </w:tr>
      <w:tr w:rsidR="00450995" w:rsidRPr="00450995" w14:paraId="4AC84540" w14:textId="77777777" w:rsidTr="00B00B81">
        <w:trPr>
          <w:trHeight w:val="279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 w14:paraId="6DB1A4EC" w14:textId="77777777" w:rsidR="002C1244" w:rsidRPr="00450995" w:rsidRDefault="002C1244" w:rsidP="002C12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7203" w:type="dxa"/>
            <w:gridSpan w:val="2"/>
          </w:tcPr>
          <w:p w14:paraId="5310E905" w14:textId="61D60BDD" w:rsidR="002C1244" w:rsidRPr="00450995" w:rsidRDefault="002C1244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hint="eastAsia"/>
                <w:sz w:val="22"/>
              </w:rPr>
              <w:sym w:font="Wingdings" w:char="F0FE"/>
            </w: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 xml:space="preserve"> 1.在同一相关市场，所有参与集中的经营者所占市场份额之和小于15%。</w:t>
            </w:r>
          </w:p>
        </w:tc>
      </w:tr>
      <w:tr w:rsidR="00450995" w:rsidRPr="00450995" w14:paraId="63BD46B9" w14:textId="77777777" w:rsidTr="00B00B81">
        <w:trPr>
          <w:trHeight w:val="330"/>
        </w:trPr>
        <w:tc>
          <w:tcPr>
            <w:tcW w:w="1844" w:type="dxa"/>
            <w:vMerge/>
            <w:shd w:val="clear" w:color="auto" w:fill="D9D9D9"/>
            <w:vAlign w:val="center"/>
          </w:tcPr>
          <w:p w14:paraId="00157954" w14:textId="77777777" w:rsidR="002C1244" w:rsidRPr="00450995" w:rsidRDefault="002C1244" w:rsidP="002C12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7203" w:type="dxa"/>
            <w:gridSpan w:val="2"/>
          </w:tcPr>
          <w:p w14:paraId="52DC2D28" w14:textId="77777777" w:rsidR="002C1244" w:rsidRPr="00450995" w:rsidRDefault="002C1244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hint="eastAsia"/>
                <w:sz w:val="22"/>
              </w:rPr>
              <w:sym w:font="Wingdings" w:char="F0FE"/>
            </w:r>
            <w:r w:rsidRPr="00450995">
              <w:rPr>
                <w:rFonts w:ascii="宋体" w:hAnsi="宋体"/>
                <w:sz w:val="22"/>
              </w:rPr>
              <w:t xml:space="preserve"> </w:t>
            </w: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2.存在上下游关系的参与集中的经营者，在上下游市场所占的市场份额均小于25%。</w:t>
            </w:r>
          </w:p>
        </w:tc>
      </w:tr>
      <w:tr w:rsidR="00450995" w:rsidRPr="00450995" w14:paraId="4EC2FC58" w14:textId="77777777" w:rsidTr="00B00B81">
        <w:trPr>
          <w:trHeight w:val="285"/>
        </w:trPr>
        <w:tc>
          <w:tcPr>
            <w:tcW w:w="1844" w:type="dxa"/>
            <w:vMerge/>
            <w:shd w:val="clear" w:color="auto" w:fill="D9D9D9"/>
            <w:vAlign w:val="center"/>
          </w:tcPr>
          <w:p w14:paraId="6F4F23F6" w14:textId="77777777" w:rsidR="002C1244" w:rsidRPr="00450995" w:rsidRDefault="002C1244" w:rsidP="002C12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7203" w:type="dxa"/>
            <w:gridSpan w:val="2"/>
          </w:tcPr>
          <w:p w14:paraId="4A237EC4" w14:textId="6478CAA7" w:rsidR="002C1244" w:rsidRPr="00450995" w:rsidRDefault="002C1244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□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 xml:space="preserve"> </w:t>
            </w: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3.不在同一相关市场、也不存在上下游关系的参与集中的经营者，在与交易有关的每个市场所占的份额均小于25%。</w:t>
            </w:r>
          </w:p>
        </w:tc>
      </w:tr>
      <w:tr w:rsidR="00450995" w:rsidRPr="00450995" w14:paraId="7A928783" w14:textId="77777777" w:rsidTr="00B00B81">
        <w:trPr>
          <w:trHeight w:val="870"/>
        </w:trPr>
        <w:tc>
          <w:tcPr>
            <w:tcW w:w="1844" w:type="dxa"/>
            <w:vMerge/>
            <w:shd w:val="clear" w:color="auto" w:fill="D9D9D9"/>
            <w:vAlign w:val="center"/>
          </w:tcPr>
          <w:p w14:paraId="29579F53" w14:textId="77777777" w:rsidR="002C1244" w:rsidRPr="00450995" w:rsidRDefault="002C1244" w:rsidP="002C12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7203" w:type="dxa"/>
            <w:gridSpan w:val="2"/>
          </w:tcPr>
          <w:p w14:paraId="21880773" w14:textId="3FED5699" w:rsidR="002C1244" w:rsidRPr="00450995" w:rsidRDefault="002C1244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□ 4.参与集中的经营者在中国境外设立合营企业，合营企业不在中国境内从事经济活动。</w:t>
            </w:r>
          </w:p>
        </w:tc>
      </w:tr>
      <w:tr w:rsidR="00450995" w:rsidRPr="00450995" w14:paraId="41E5BAA1" w14:textId="77777777" w:rsidTr="00B00B81">
        <w:trPr>
          <w:trHeight w:val="264"/>
        </w:trPr>
        <w:tc>
          <w:tcPr>
            <w:tcW w:w="1844" w:type="dxa"/>
            <w:vMerge/>
            <w:shd w:val="clear" w:color="auto" w:fill="D9D9D9"/>
            <w:vAlign w:val="center"/>
          </w:tcPr>
          <w:p w14:paraId="6265AA65" w14:textId="77777777" w:rsidR="002C1244" w:rsidRPr="00450995" w:rsidRDefault="002C1244" w:rsidP="002C12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7203" w:type="dxa"/>
            <w:gridSpan w:val="2"/>
          </w:tcPr>
          <w:p w14:paraId="7146BDA1" w14:textId="7CC327B4" w:rsidR="002C1244" w:rsidRPr="00450995" w:rsidRDefault="002C1244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□ 5.参与集中的经营者收购境外企业股权或资产的，该境外企业不在中国境内从事经济活动。</w:t>
            </w:r>
          </w:p>
        </w:tc>
      </w:tr>
      <w:tr w:rsidR="00450995" w:rsidRPr="00450995" w14:paraId="73C14F14" w14:textId="77777777" w:rsidTr="00B00B81">
        <w:trPr>
          <w:trHeight w:val="345"/>
        </w:trPr>
        <w:tc>
          <w:tcPr>
            <w:tcW w:w="1844" w:type="dxa"/>
            <w:vMerge/>
            <w:shd w:val="clear" w:color="auto" w:fill="D9D9D9"/>
            <w:vAlign w:val="center"/>
          </w:tcPr>
          <w:p w14:paraId="2535971E" w14:textId="77777777" w:rsidR="002C1244" w:rsidRPr="00450995" w:rsidRDefault="002C1244" w:rsidP="002C12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7203" w:type="dxa"/>
            <w:gridSpan w:val="2"/>
          </w:tcPr>
          <w:p w14:paraId="13F33191" w14:textId="12398380" w:rsidR="002C1244" w:rsidRPr="00450995" w:rsidRDefault="002C1244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□ 6.由两个以上的经营者共同控制的合营企业，通过集中被其中一个或一个以上经营者控制。</w:t>
            </w:r>
          </w:p>
        </w:tc>
      </w:tr>
      <w:tr w:rsidR="00450995" w:rsidRPr="00450995" w14:paraId="4DA9CF76" w14:textId="77777777" w:rsidTr="00B00B81">
        <w:tc>
          <w:tcPr>
            <w:tcW w:w="1844" w:type="dxa"/>
            <w:shd w:val="clear" w:color="auto" w:fill="D9D9D9"/>
            <w:vAlign w:val="center"/>
          </w:tcPr>
          <w:p w14:paraId="5A03B670" w14:textId="77777777" w:rsidR="002C1244" w:rsidRPr="00450995" w:rsidRDefault="002C1244" w:rsidP="002C12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备注</w:t>
            </w:r>
          </w:p>
        </w:tc>
        <w:tc>
          <w:tcPr>
            <w:tcW w:w="7203" w:type="dxa"/>
            <w:gridSpan w:val="2"/>
          </w:tcPr>
          <w:p w14:paraId="5B7AD069" w14:textId="77777777" w:rsidR="002C1244" w:rsidRPr="00450995" w:rsidRDefault="002C1244" w:rsidP="002C1244">
            <w:pPr>
              <w:spacing w:line="500" w:lineRule="exact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相关市场界定及市场份额如下：</w:t>
            </w:r>
          </w:p>
          <w:p w14:paraId="5039C97F" w14:textId="63A13BBC" w:rsidR="00D5540A" w:rsidRPr="00450995" w:rsidRDefault="00CE7EAD" w:rsidP="00D5540A">
            <w:pPr>
              <w:pStyle w:val="a3"/>
              <w:numPr>
                <w:ilvl w:val="0"/>
                <w:numId w:val="6"/>
              </w:numPr>
              <w:spacing w:line="500" w:lineRule="exact"/>
              <w:ind w:firstLineChars="0"/>
              <w:rPr>
                <w:rFonts w:ascii="宋体" w:hAnsi="宋体" w:cs="宋体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商品</w:t>
            </w:r>
            <w:r w:rsidR="00D5540A" w:rsidRPr="00450995">
              <w:rPr>
                <w:rFonts w:ascii="宋体" w:hAnsi="宋体" w:cs="宋体" w:hint="eastAsia"/>
                <w:kern w:val="0"/>
                <w:sz w:val="22"/>
                <w:bdr w:val="none" w:sz="0" w:space="0" w:color="auto" w:frame="1"/>
              </w:rPr>
              <w:t>市场：</w:t>
            </w:r>
            <w:proofErr w:type="gramStart"/>
            <w:r w:rsidR="00D5540A" w:rsidRPr="00450995">
              <w:rPr>
                <w:rFonts w:ascii="宋体" w:hAnsi="宋体" w:hint="eastAsia"/>
                <w:kern w:val="0"/>
                <w:sz w:val="22"/>
              </w:rPr>
              <w:t>锂</w:t>
            </w:r>
            <w:proofErr w:type="gramEnd"/>
            <w:r w:rsidR="00D5540A" w:rsidRPr="00450995">
              <w:rPr>
                <w:rFonts w:ascii="宋体" w:hAnsi="宋体" w:hint="eastAsia"/>
                <w:kern w:val="0"/>
                <w:sz w:val="22"/>
              </w:rPr>
              <w:t>离子动力电池市场</w:t>
            </w:r>
          </w:p>
          <w:p w14:paraId="53F3F31E" w14:textId="71D3F1BA" w:rsidR="00D5540A" w:rsidRPr="00450995" w:rsidRDefault="00D5540A" w:rsidP="00D5540A">
            <w:pPr>
              <w:pStyle w:val="a3"/>
              <w:spacing w:line="500" w:lineRule="exact"/>
              <w:ind w:left="360" w:firstLineChars="0" w:firstLine="0"/>
              <w:rPr>
                <w:rFonts w:ascii="宋体" w:hAnsi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地域市场：中国</w:t>
            </w:r>
            <w:r w:rsidR="007967B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境内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市场</w:t>
            </w:r>
          </w:p>
          <w:p w14:paraId="50C2988B" w14:textId="10F3F2CC" w:rsidR="00D5540A" w:rsidRPr="00450995" w:rsidRDefault="00D5540A" w:rsidP="00D5540A">
            <w:pPr>
              <w:pStyle w:val="a3"/>
              <w:spacing w:line="500" w:lineRule="exact"/>
              <w:ind w:left="360" w:firstLineChars="0" w:firstLine="0"/>
              <w:rPr>
                <w:rFonts w:ascii="宋体" w:hAnsi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市场份额：S</w:t>
            </w:r>
            <w:r w:rsidRPr="00450995">
              <w:rPr>
                <w:rFonts w:ascii="宋体" w:hAnsi="宋体"/>
                <w:kern w:val="0"/>
                <w:sz w:val="22"/>
                <w:bdr w:val="none" w:sz="0" w:space="0" w:color="auto" w:frame="1"/>
              </w:rPr>
              <w:t>KI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 xml:space="preserve"> [5</w:t>
            </w:r>
            <w:r w:rsidR="0041596C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-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10]%；E</w:t>
            </w:r>
            <w:r w:rsidRPr="00450995">
              <w:rPr>
                <w:rFonts w:ascii="宋体" w:hAnsi="宋体"/>
                <w:kern w:val="0"/>
                <w:sz w:val="22"/>
                <w:bdr w:val="none" w:sz="0" w:space="0" w:color="auto" w:frame="1"/>
              </w:rPr>
              <w:t>VE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 xml:space="preserve"> [0</w:t>
            </w:r>
            <w:r w:rsidR="0041596C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-</w:t>
            </w:r>
            <w:proofErr w:type="gramStart"/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5]%</w:t>
            </w:r>
            <w:proofErr w:type="gramEnd"/>
          </w:p>
          <w:p w14:paraId="5462F3BF" w14:textId="79B63D5E" w:rsidR="00D5540A" w:rsidRPr="00450995" w:rsidRDefault="00D5540A" w:rsidP="00D5540A">
            <w:pPr>
              <w:pStyle w:val="a3"/>
              <w:spacing w:line="500" w:lineRule="exact"/>
              <w:ind w:left="360" w:firstLineChars="0" w:firstLine="0"/>
              <w:rPr>
                <w:rFonts w:ascii="宋体" w:hAnsi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合并份额：[5</w:t>
            </w:r>
            <w:r w:rsidR="0041596C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-</w:t>
            </w:r>
            <w:proofErr w:type="gramStart"/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10]%</w:t>
            </w:r>
            <w:proofErr w:type="gramEnd"/>
          </w:p>
          <w:p w14:paraId="732DCBC3" w14:textId="5A116E35" w:rsidR="00D5540A" w:rsidRPr="00450995" w:rsidRDefault="00CE7EAD" w:rsidP="00D5540A">
            <w:pPr>
              <w:pStyle w:val="a3"/>
              <w:numPr>
                <w:ilvl w:val="0"/>
                <w:numId w:val="6"/>
              </w:numPr>
              <w:spacing w:line="500" w:lineRule="exact"/>
              <w:ind w:firstLineChars="0"/>
              <w:rPr>
                <w:rFonts w:ascii="宋体" w:hAnsi="宋体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商品</w:t>
            </w:r>
            <w:r w:rsidR="00D5540A"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市场：</w:t>
            </w:r>
            <w:proofErr w:type="gramStart"/>
            <w:r w:rsidR="00D5540A" w:rsidRPr="00450995">
              <w:rPr>
                <w:rFonts w:ascii="宋体" w:hAnsi="宋体" w:hint="eastAsia"/>
                <w:kern w:val="0"/>
                <w:sz w:val="22"/>
              </w:rPr>
              <w:t>锂</w:t>
            </w:r>
            <w:proofErr w:type="gramEnd"/>
            <w:r w:rsidR="00D5540A" w:rsidRPr="00450995">
              <w:rPr>
                <w:rFonts w:ascii="宋体" w:hAnsi="宋体" w:hint="eastAsia"/>
                <w:kern w:val="0"/>
                <w:sz w:val="22"/>
              </w:rPr>
              <w:t>离子储能电池市场</w:t>
            </w:r>
          </w:p>
          <w:p w14:paraId="3EEEEED4" w14:textId="45D64207" w:rsidR="00D5540A" w:rsidRPr="00450995" w:rsidRDefault="00D5540A" w:rsidP="00D5540A">
            <w:pPr>
              <w:pStyle w:val="a3"/>
              <w:spacing w:line="500" w:lineRule="exact"/>
              <w:ind w:left="360" w:firstLineChars="0" w:firstLine="0"/>
              <w:rPr>
                <w:rFonts w:ascii="宋体" w:hAnsi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地域市场：中国</w:t>
            </w:r>
            <w:r w:rsidR="007967B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境内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市场</w:t>
            </w:r>
          </w:p>
          <w:p w14:paraId="6F4CFF93" w14:textId="1887C3AF" w:rsidR="00D5540A" w:rsidRPr="00450995" w:rsidRDefault="00D5540A" w:rsidP="00D5540A">
            <w:pPr>
              <w:pStyle w:val="a3"/>
              <w:spacing w:line="500" w:lineRule="exact"/>
              <w:ind w:left="360" w:firstLineChars="0" w:firstLine="0"/>
              <w:rPr>
                <w:rFonts w:ascii="宋体" w:hAnsi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市场份额：S</w:t>
            </w:r>
            <w:r w:rsidRPr="00450995">
              <w:rPr>
                <w:rFonts w:ascii="宋体" w:hAnsi="宋体"/>
                <w:kern w:val="0"/>
                <w:sz w:val="22"/>
                <w:bdr w:val="none" w:sz="0" w:space="0" w:color="auto" w:frame="1"/>
              </w:rPr>
              <w:t>KI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 xml:space="preserve"> [</w:t>
            </w:r>
            <w:r w:rsidRPr="00450995">
              <w:rPr>
                <w:rFonts w:ascii="宋体" w:hAnsi="宋体"/>
                <w:kern w:val="0"/>
                <w:sz w:val="22"/>
                <w:bdr w:val="none" w:sz="0" w:space="0" w:color="auto" w:frame="1"/>
              </w:rPr>
              <w:t>0</w:t>
            </w:r>
            <w:r w:rsidR="0041596C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-</w:t>
            </w:r>
            <w:r w:rsidRPr="00450995">
              <w:rPr>
                <w:rFonts w:ascii="宋体" w:hAnsi="宋体"/>
                <w:kern w:val="0"/>
                <w:sz w:val="22"/>
                <w:bdr w:val="none" w:sz="0" w:space="0" w:color="auto" w:frame="1"/>
              </w:rPr>
              <w:t>5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]%；E</w:t>
            </w:r>
            <w:r w:rsidRPr="00450995">
              <w:rPr>
                <w:rFonts w:ascii="宋体" w:hAnsi="宋体"/>
                <w:kern w:val="0"/>
                <w:sz w:val="22"/>
                <w:bdr w:val="none" w:sz="0" w:space="0" w:color="auto" w:frame="1"/>
              </w:rPr>
              <w:t>VE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 xml:space="preserve"> [</w:t>
            </w:r>
            <w:r w:rsidRPr="00450995">
              <w:rPr>
                <w:rFonts w:ascii="宋体" w:hAnsi="宋体"/>
                <w:kern w:val="0"/>
                <w:sz w:val="22"/>
                <w:bdr w:val="none" w:sz="0" w:space="0" w:color="auto" w:frame="1"/>
              </w:rPr>
              <w:t>1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0</w:t>
            </w:r>
            <w:r w:rsidR="0041596C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-</w:t>
            </w:r>
            <w:proofErr w:type="gramStart"/>
            <w:r w:rsidRPr="00450995">
              <w:rPr>
                <w:rFonts w:ascii="宋体" w:hAnsi="宋体"/>
                <w:kern w:val="0"/>
                <w:sz w:val="22"/>
                <w:bdr w:val="none" w:sz="0" w:space="0" w:color="auto" w:frame="1"/>
              </w:rPr>
              <w:t>1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5]%</w:t>
            </w:r>
            <w:proofErr w:type="gramEnd"/>
          </w:p>
          <w:p w14:paraId="77F58BF5" w14:textId="2B6ABE95" w:rsidR="00D5540A" w:rsidRPr="00450995" w:rsidRDefault="00D5540A" w:rsidP="00D5540A">
            <w:pPr>
              <w:pStyle w:val="a3"/>
              <w:spacing w:line="500" w:lineRule="exact"/>
              <w:ind w:left="360" w:firstLineChars="0" w:firstLine="0"/>
              <w:rPr>
                <w:rFonts w:ascii="宋体" w:hAnsi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合并份额：[</w:t>
            </w:r>
            <w:r w:rsidRPr="00450995">
              <w:rPr>
                <w:rFonts w:ascii="宋体" w:hAnsi="宋体"/>
                <w:kern w:val="0"/>
                <w:sz w:val="22"/>
                <w:bdr w:val="none" w:sz="0" w:space="0" w:color="auto" w:frame="1"/>
              </w:rPr>
              <w:t>10</w:t>
            </w:r>
            <w:r w:rsidR="0041596C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-</w:t>
            </w:r>
            <w:proofErr w:type="gramStart"/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1</w:t>
            </w:r>
            <w:r w:rsidRPr="00450995">
              <w:rPr>
                <w:rFonts w:ascii="宋体" w:hAnsi="宋体"/>
                <w:kern w:val="0"/>
                <w:sz w:val="22"/>
                <w:bdr w:val="none" w:sz="0" w:space="0" w:color="auto" w:frame="1"/>
              </w:rPr>
              <w:t>5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]%</w:t>
            </w:r>
            <w:proofErr w:type="gramEnd"/>
          </w:p>
          <w:p w14:paraId="22072307" w14:textId="2BDA77AF" w:rsidR="00D5540A" w:rsidRPr="00450995" w:rsidRDefault="00CE7EAD" w:rsidP="00D5540A">
            <w:pPr>
              <w:pStyle w:val="a3"/>
              <w:numPr>
                <w:ilvl w:val="0"/>
                <w:numId w:val="6"/>
              </w:numPr>
              <w:spacing w:line="500" w:lineRule="exact"/>
              <w:ind w:firstLineChars="0"/>
              <w:rPr>
                <w:rFonts w:ascii="宋体" w:hAnsi="宋体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商品</w:t>
            </w:r>
            <w:r w:rsidR="00D5540A"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市场：</w:t>
            </w:r>
            <w:r w:rsidR="00BA5314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三元正极材料镍钴锰酸</w:t>
            </w:r>
            <w:proofErr w:type="gramStart"/>
            <w:r w:rsidR="00BA5314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锂</w:t>
            </w:r>
            <w:proofErr w:type="gramEnd"/>
            <w:r w:rsidR="00D5540A"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市场</w:t>
            </w:r>
          </w:p>
          <w:p w14:paraId="06D7821D" w14:textId="47AFF36A" w:rsidR="00D5540A" w:rsidRPr="00450995" w:rsidRDefault="00D5540A" w:rsidP="00D5540A">
            <w:pPr>
              <w:pStyle w:val="a3"/>
              <w:spacing w:line="500" w:lineRule="exact"/>
              <w:ind w:left="360" w:firstLineChars="0" w:firstLine="0"/>
              <w:rPr>
                <w:rFonts w:ascii="宋体" w:hAnsi="宋体"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地域市场：中国</w:t>
            </w:r>
            <w:r w:rsidR="007967B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境内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市场</w:t>
            </w:r>
          </w:p>
          <w:p w14:paraId="37DA52DE" w14:textId="391E21D6" w:rsidR="002C1244" w:rsidRPr="00450995" w:rsidRDefault="00D5540A" w:rsidP="00D5540A">
            <w:pPr>
              <w:pStyle w:val="a3"/>
              <w:spacing w:line="500" w:lineRule="exact"/>
              <w:ind w:left="360" w:firstLineChars="0" w:firstLine="0"/>
              <w:rPr>
                <w:rFonts w:ascii="宋体" w:hAnsi="宋体"/>
                <w:b/>
                <w:bCs/>
                <w:kern w:val="0"/>
                <w:sz w:val="22"/>
                <w:bdr w:val="none" w:sz="0" w:space="0" w:color="auto" w:frame="1"/>
              </w:rPr>
            </w:pP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市场份额：B</w:t>
            </w:r>
            <w:r w:rsidRPr="00450995">
              <w:rPr>
                <w:rFonts w:ascii="宋体" w:hAnsi="宋体"/>
                <w:kern w:val="0"/>
                <w:sz w:val="22"/>
                <w:bdr w:val="none" w:sz="0" w:space="0" w:color="auto" w:frame="1"/>
              </w:rPr>
              <w:t>TR</w:t>
            </w:r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 xml:space="preserve"> [0</w:t>
            </w:r>
            <w:r w:rsidR="0041596C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-</w:t>
            </w:r>
            <w:proofErr w:type="gramStart"/>
            <w:r w:rsidRPr="00450995">
              <w:rPr>
                <w:rFonts w:ascii="宋体" w:hAnsi="宋体" w:hint="eastAsia"/>
                <w:kern w:val="0"/>
                <w:sz w:val="22"/>
                <w:bdr w:val="none" w:sz="0" w:space="0" w:color="auto" w:frame="1"/>
              </w:rPr>
              <w:t>5]%</w:t>
            </w:r>
            <w:proofErr w:type="gramEnd"/>
          </w:p>
        </w:tc>
      </w:tr>
    </w:tbl>
    <w:p w14:paraId="0688C048" w14:textId="77777777" w:rsidR="00CB00DF" w:rsidRPr="00450995" w:rsidRDefault="00CB00DF" w:rsidP="00CB00DF">
      <w:pPr>
        <w:snapToGrid w:val="0"/>
        <w:spacing w:line="240" w:lineRule="exact"/>
        <w:jc w:val="left"/>
        <w:rPr>
          <w:rFonts w:ascii="宋体" w:hAnsi="宋体"/>
          <w:sz w:val="22"/>
        </w:rPr>
      </w:pPr>
    </w:p>
    <w:sectPr w:rsidR="00CB00DF" w:rsidRPr="00450995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E1DA8" w14:textId="77777777" w:rsidR="00B56C92" w:rsidRDefault="00B56C92" w:rsidP="00D65040">
      <w:r>
        <w:separator/>
      </w:r>
    </w:p>
  </w:endnote>
  <w:endnote w:type="continuationSeparator" w:id="0">
    <w:p w14:paraId="373C0630" w14:textId="77777777" w:rsidR="00B56C92" w:rsidRDefault="00B56C92" w:rsidP="00D6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0B423" w14:textId="77777777" w:rsidR="00B56C92" w:rsidRDefault="00B56C92" w:rsidP="00D65040">
      <w:r>
        <w:separator/>
      </w:r>
    </w:p>
  </w:footnote>
  <w:footnote w:type="continuationSeparator" w:id="0">
    <w:p w14:paraId="3D6A4EC1" w14:textId="77777777" w:rsidR="00B56C92" w:rsidRDefault="00B56C92" w:rsidP="00D6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D2DEC"/>
    <w:multiLevelType w:val="hybridMultilevel"/>
    <w:tmpl w:val="149632BC"/>
    <w:lvl w:ilvl="0" w:tplc="8526979E">
      <w:start w:val="2"/>
      <w:numFmt w:val="bullet"/>
      <w:lvlText w:val="□"/>
      <w:lvlJc w:val="left"/>
      <w:pPr>
        <w:ind w:left="360" w:hanging="360"/>
      </w:pPr>
      <w:rPr>
        <w:rFonts w:ascii="FangSong" w:eastAsia="FangSong" w:hAnsi="FangSong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C32245"/>
    <w:multiLevelType w:val="hybridMultilevel"/>
    <w:tmpl w:val="FBA22B04"/>
    <w:lvl w:ilvl="0" w:tplc="479E0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343959"/>
    <w:multiLevelType w:val="hybridMultilevel"/>
    <w:tmpl w:val="B3507E3A"/>
    <w:lvl w:ilvl="0" w:tplc="2C30BD40">
      <w:start w:val="2"/>
      <w:numFmt w:val="bullet"/>
      <w:lvlText w:val="□"/>
      <w:lvlJc w:val="left"/>
      <w:pPr>
        <w:ind w:left="360" w:hanging="360"/>
      </w:pPr>
      <w:rPr>
        <w:rFonts w:ascii="FangSong" w:eastAsia="FangSong" w:hAnsi="FangSong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CC4D1C"/>
    <w:multiLevelType w:val="hybridMultilevel"/>
    <w:tmpl w:val="296A330C"/>
    <w:lvl w:ilvl="0" w:tplc="2A64A1F8">
      <w:start w:val="2"/>
      <w:numFmt w:val="bullet"/>
      <w:lvlText w:val="□"/>
      <w:lvlJc w:val="left"/>
      <w:pPr>
        <w:ind w:left="360" w:hanging="360"/>
      </w:pPr>
      <w:rPr>
        <w:rFonts w:ascii="FangSong" w:eastAsia="FangSong" w:hAnsi="FangSong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17CDE"/>
    <w:multiLevelType w:val="hybridMultilevel"/>
    <w:tmpl w:val="B2A62A0A"/>
    <w:lvl w:ilvl="0" w:tplc="6FF464B4">
      <w:start w:val="2"/>
      <w:numFmt w:val="bullet"/>
      <w:lvlText w:val="□"/>
      <w:lvlJc w:val="left"/>
      <w:pPr>
        <w:ind w:left="360" w:hanging="360"/>
      </w:pPr>
      <w:rPr>
        <w:rFonts w:ascii="FangSong" w:eastAsia="FangSong" w:hAnsi="FangSong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DF"/>
    <w:rsid w:val="00020F70"/>
    <w:rsid w:val="00026BC2"/>
    <w:rsid w:val="00033992"/>
    <w:rsid w:val="00037065"/>
    <w:rsid w:val="00044C2E"/>
    <w:rsid w:val="00051E5B"/>
    <w:rsid w:val="00071DB9"/>
    <w:rsid w:val="00085BD2"/>
    <w:rsid w:val="000A2E2F"/>
    <w:rsid w:val="000A4787"/>
    <w:rsid w:val="000B1812"/>
    <w:rsid w:val="000D0411"/>
    <w:rsid w:val="000D7EBA"/>
    <w:rsid w:val="000F2AAD"/>
    <w:rsid w:val="0011009D"/>
    <w:rsid w:val="001114F0"/>
    <w:rsid w:val="0011343D"/>
    <w:rsid w:val="001164CD"/>
    <w:rsid w:val="00117C3B"/>
    <w:rsid w:val="00124A15"/>
    <w:rsid w:val="00127E8C"/>
    <w:rsid w:val="00132FB6"/>
    <w:rsid w:val="00146E86"/>
    <w:rsid w:val="00155717"/>
    <w:rsid w:val="001700D1"/>
    <w:rsid w:val="001837A3"/>
    <w:rsid w:val="0018513B"/>
    <w:rsid w:val="00194E8A"/>
    <w:rsid w:val="001A54AC"/>
    <w:rsid w:val="00201F7D"/>
    <w:rsid w:val="00207330"/>
    <w:rsid w:val="002229A1"/>
    <w:rsid w:val="00225E73"/>
    <w:rsid w:val="00235BB0"/>
    <w:rsid w:val="00261874"/>
    <w:rsid w:val="00265BC1"/>
    <w:rsid w:val="0027128F"/>
    <w:rsid w:val="00272013"/>
    <w:rsid w:val="002C1244"/>
    <w:rsid w:val="002C3669"/>
    <w:rsid w:val="002C7D42"/>
    <w:rsid w:val="002E3520"/>
    <w:rsid w:val="003129B0"/>
    <w:rsid w:val="00331147"/>
    <w:rsid w:val="00343612"/>
    <w:rsid w:val="00377D8B"/>
    <w:rsid w:val="003B427C"/>
    <w:rsid w:val="003C0AEB"/>
    <w:rsid w:val="003D5F30"/>
    <w:rsid w:val="003E083D"/>
    <w:rsid w:val="0040009B"/>
    <w:rsid w:val="00414B46"/>
    <w:rsid w:val="0041596C"/>
    <w:rsid w:val="004243FD"/>
    <w:rsid w:val="004367D7"/>
    <w:rsid w:val="00450995"/>
    <w:rsid w:val="004A34FE"/>
    <w:rsid w:val="004A71D1"/>
    <w:rsid w:val="004B0AC8"/>
    <w:rsid w:val="004B2FA0"/>
    <w:rsid w:val="004D1A44"/>
    <w:rsid w:val="004F7688"/>
    <w:rsid w:val="0051563C"/>
    <w:rsid w:val="00544EDC"/>
    <w:rsid w:val="005456FC"/>
    <w:rsid w:val="00563292"/>
    <w:rsid w:val="005658D8"/>
    <w:rsid w:val="005B5194"/>
    <w:rsid w:val="005B6275"/>
    <w:rsid w:val="005D1557"/>
    <w:rsid w:val="00601039"/>
    <w:rsid w:val="00604D24"/>
    <w:rsid w:val="006142C2"/>
    <w:rsid w:val="00631588"/>
    <w:rsid w:val="006467D8"/>
    <w:rsid w:val="006504E2"/>
    <w:rsid w:val="00655BF1"/>
    <w:rsid w:val="0066490A"/>
    <w:rsid w:val="006A531B"/>
    <w:rsid w:val="006A5734"/>
    <w:rsid w:val="006F7693"/>
    <w:rsid w:val="00702475"/>
    <w:rsid w:val="00710140"/>
    <w:rsid w:val="00744337"/>
    <w:rsid w:val="00754DD1"/>
    <w:rsid w:val="00757220"/>
    <w:rsid w:val="00762C02"/>
    <w:rsid w:val="007636B2"/>
    <w:rsid w:val="0078468D"/>
    <w:rsid w:val="007967B5"/>
    <w:rsid w:val="007A11BA"/>
    <w:rsid w:val="007B10BE"/>
    <w:rsid w:val="007B6A37"/>
    <w:rsid w:val="007D2F1A"/>
    <w:rsid w:val="007E6F03"/>
    <w:rsid w:val="007F2275"/>
    <w:rsid w:val="008145E3"/>
    <w:rsid w:val="008430D8"/>
    <w:rsid w:val="00850425"/>
    <w:rsid w:val="00857C7A"/>
    <w:rsid w:val="00871E72"/>
    <w:rsid w:val="008804AD"/>
    <w:rsid w:val="00892E63"/>
    <w:rsid w:val="00897BA5"/>
    <w:rsid w:val="008A3C88"/>
    <w:rsid w:val="008A5356"/>
    <w:rsid w:val="008C133E"/>
    <w:rsid w:val="008C2CA5"/>
    <w:rsid w:val="00915F0F"/>
    <w:rsid w:val="00924A83"/>
    <w:rsid w:val="009270B1"/>
    <w:rsid w:val="00941FFE"/>
    <w:rsid w:val="009532DF"/>
    <w:rsid w:val="009718E3"/>
    <w:rsid w:val="00982887"/>
    <w:rsid w:val="00994DEF"/>
    <w:rsid w:val="00997019"/>
    <w:rsid w:val="009A5029"/>
    <w:rsid w:val="009C2792"/>
    <w:rsid w:val="009D0359"/>
    <w:rsid w:val="009D38D5"/>
    <w:rsid w:val="009E009B"/>
    <w:rsid w:val="00A06A80"/>
    <w:rsid w:val="00A2755C"/>
    <w:rsid w:val="00A358DB"/>
    <w:rsid w:val="00A4373A"/>
    <w:rsid w:val="00A53F26"/>
    <w:rsid w:val="00A724CB"/>
    <w:rsid w:val="00A77E8F"/>
    <w:rsid w:val="00A86D7F"/>
    <w:rsid w:val="00A966A1"/>
    <w:rsid w:val="00AA0CC5"/>
    <w:rsid w:val="00B00B81"/>
    <w:rsid w:val="00B05A24"/>
    <w:rsid w:val="00B112C0"/>
    <w:rsid w:val="00B16AFE"/>
    <w:rsid w:val="00B263BE"/>
    <w:rsid w:val="00B52A13"/>
    <w:rsid w:val="00B56C92"/>
    <w:rsid w:val="00B65DD5"/>
    <w:rsid w:val="00B77C7E"/>
    <w:rsid w:val="00B903B4"/>
    <w:rsid w:val="00BA5314"/>
    <w:rsid w:val="00BC4542"/>
    <w:rsid w:val="00BD10B6"/>
    <w:rsid w:val="00C07076"/>
    <w:rsid w:val="00C2267F"/>
    <w:rsid w:val="00C47997"/>
    <w:rsid w:val="00C90A66"/>
    <w:rsid w:val="00CB00DF"/>
    <w:rsid w:val="00CB109E"/>
    <w:rsid w:val="00CB3A30"/>
    <w:rsid w:val="00CB45B2"/>
    <w:rsid w:val="00CB5175"/>
    <w:rsid w:val="00CD72DC"/>
    <w:rsid w:val="00CE7EAD"/>
    <w:rsid w:val="00D05CC8"/>
    <w:rsid w:val="00D37553"/>
    <w:rsid w:val="00D5540A"/>
    <w:rsid w:val="00D65040"/>
    <w:rsid w:val="00D675E8"/>
    <w:rsid w:val="00D67A88"/>
    <w:rsid w:val="00D70162"/>
    <w:rsid w:val="00D70184"/>
    <w:rsid w:val="00D737C3"/>
    <w:rsid w:val="00D73C72"/>
    <w:rsid w:val="00D74319"/>
    <w:rsid w:val="00E0592B"/>
    <w:rsid w:val="00E14C5F"/>
    <w:rsid w:val="00E17DC4"/>
    <w:rsid w:val="00E31738"/>
    <w:rsid w:val="00E42C71"/>
    <w:rsid w:val="00E47028"/>
    <w:rsid w:val="00E7533B"/>
    <w:rsid w:val="00E849EC"/>
    <w:rsid w:val="00E86786"/>
    <w:rsid w:val="00E94813"/>
    <w:rsid w:val="00E96145"/>
    <w:rsid w:val="00EA31FC"/>
    <w:rsid w:val="00EB5445"/>
    <w:rsid w:val="00ED2F80"/>
    <w:rsid w:val="00ED71CA"/>
    <w:rsid w:val="00F00230"/>
    <w:rsid w:val="00F1624E"/>
    <w:rsid w:val="00F32F8A"/>
    <w:rsid w:val="00F40637"/>
    <w:rsid w:val="00F810AA"/>
    <w:rsid w:val="00FA539A"/>
    <w:rsid w:val="00FB0822"/>
    <w:rsid w:val="00FB43EC"/>
    <w:rsid w:val="00FB6B40"/>
    <w:rsid w:val="00FC20A5"/>
    <w:rsid w:val="00FF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30411"/>
  <w15:docId w15:val="{E33BA25E-5014-4837-B633-6016C548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A06A80"/>
    <w:rPr>
      <w:sz w:val="22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A06A80"/>
    <w:pPr>
      <w:shd w:val="clear" w:color="auto" w:fill="FFFFFF"/>
      <w:spacing w:before="480" w:line="518" w:lineRule="exact"/>
      <w:ind w:hanging="720"/>
      <w:jc w:val="center"/>
    </w:pPr>
    <w:rPr>
      <w:rFonts w:asciiTheme="minorHAnsi" w:eastAsiaTheme="minorEastAsia" w:hAnsiTheme="minorHAnsi" w:cstheme="minorBidi"/>
      <w:sz w:val="22"/>
    </w:rPr>
  </w:style>
  <w:style w:type="paragraph" w:styleId="a3">
    <w:name w:val="List Paragraph"/>
    <w:basedOn w:val="a"/>
    <w:uiPriority w:val="34"/>
    <w:qFormat/>
    <w:rsid w:val="00117C3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65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504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5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5040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04D2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04D24"/>
    <w:rPr>
      <w:rFonts w:ascii="Calibri" w:eastAsia="宋体" w:hAnsi="Calibr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124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陈媚</dc:creator>
  <cp:lastModifiedBy>CAI, Guanghu /ZL</cp:lastModifiedBy>
  <cp:revision>8</cp:revision>
  <dcterms:created xsi:type="dcterms:W3CDTF">2021-10-12T06:40:00Z</dcterms:created>
  <dcterms:modified xsi:type="dcterms:W3CDTF">2021-10-12T06:46:00Z</dcterms:modified>
</cp:coreProperties>
</file>