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jc w:val="left"/>
        <w:rPr>
          <w:rFonts w:ascii="Times New Roman" w:hAnsi="Times New Roman"/>
          <w:b/>
          <w:szCs w:val="21"/>
        </w:rPr>
      </w:pPr>
      <w:r>
        <w:rPr>
          <w:rFonts w:hint="eastAsia" w:ascii="Times New Roman" w:hAnsi="Times New Roman"/>
          <w:b/>
          <w:szCs w:val="21"/>
        </w:rPr>
        <w:t>附件2</w:t>
      </w:r>
    </w:p>
    <w:p>
      <w:pPr>
        <w:spacing w:line="440" w:lineRule="exact"/>
        <w:jc w:val="center"/>
        <w:rPr>
          <w:rFonts w:ascii="黑体" w:hAnsi="Times New Roman" w:eastAsia="黑体"/>
          <w:sz w:val="30"/>
          <w:szCs w:val="30"/>
        </w:rPr>
      </w:pPr>
      <w:r>
        <w:rPr>
          <w:rFonts w:hint="eastAsia" w:ascii="黑体" w:hAnsi="Times New Roman" w:eastAsia="黑体"/>
          <w:sz w:val="30"/>
          <w:szCs w:val="30"/>
        </w:rPr>
        <w:t>经营者集中简易案件公示表</w:t>
      </w:r>
    </w:p>
    <w:p>
      <w:pPr>
        <w:spacing w:line="440" w:lineRule="exact"/>
        <w:rPr>
          <w:rFonts w:ascii="黑体" w:hAnsi="Times New Roman" w:eastAsia="黑体"/>
          <w:sz w:val="28"/>
          <w:szCs w:val="28"/>
        </w:rPr>
      </w:pPr>
    </w:p>
    <w:p>
      <w:pPr>
        <w:spacing w:line="440" w:lineRule="exact"/>
        <w:ind w:firstLine="845" w:firstLineChars="302"/>
        <w:rPr>
          <w:rFonts w:ascii="仿宋_GB2312" w:hAnsi="Times New Roman" w:eastAsia="仿宋_GB2312"/>
          <w:sz w:val="28"/>
          <w:szCs w:val="28"/>
        </w:rPr>
      </w:pPr>
    </w:p>
    <w:tbl>
      <w:tblPr>
        <w:tblStyle w:val="7"/>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796"/>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vAlign w:val="center"/>
          </w:tcPr>
          <w:p>
            <w:pPr>
              <w:spacing w:line="50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案件名称</w:t>
            </w:r>
          </w:p>
        </w:tc>
        <w:tc>
          <w:tcPr>
            <w:tcW w:w="6949" w:type="dxa"/>
            <w:gridSpan w:val="2"/>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广西建工集团有限责任公司收购成都华川公路建设集团有限公司股权案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809" w:type="dxa"/>
            <w:shd w:val="clear" w:color="auto" w:fill="D9D9D9"/>
            <w:vAlign w:val="center"/>
          </w:tcPr>
          <w:p>
            <w:pPr>
              <w:spacing w:line="50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交易概况</w:t>
            </w:r>
          </w:p>
          <w:p>
            <w:pPr>
              <w:spacing w:line="50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（限200字内）</w:t>
            </w:r>
          </w:p>
        </w:tc>
        <w:tc>
          <w:tcPr>
            <w:tcW w:w="6949" w:type="dxa"/>
            <w:gridSpan w:val="2"/>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本次交易以增资扩股方式进行。广西建工集团有限责任公司（以下简称“广西建工”）向成都华川公路建设集团有限公司（以下简称“成都华川”）增资。增资完成后，广西建工持有成都华川51%股权，原股东合计持有49%股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09" w:type="dxa"/>
            <w:vMerge w:val="restart"/>
            <w:shd w:val="clear" w:color="auto" w:fill="D9D9D9"/>
            <w:vAlign w:val="center"/>
          </w:tcPr>
          <w:p>
            <w:pPr>
              <w:spacing w:line="50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参与集中的</w:t>
            </w:r>
          </w:p>
          <w:p>
            <w:pPr>
              <w:spacing w:line="50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经营者简介</w:t>
            </w:r>
          </w:p>
        </w:tc>
        <w:tc>
          <w:tcPr>
            <w:tcW w:w="1796" w:type="dxa"/>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1、广西建工集团有限责任公司</w:t>
            </w:r>
          </w:p>
        </w:tc>
        <w:tc>
          <w:tcPr>
            <w:tcW w:w="5153" w:type="dxa"/>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广西建工于1996年在中华人民共和国境内设立，目前是一家国有资本参股的集团公司，主要开展房屋建筑工程、机电安装等业务。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szCs w:val="24"/>
              </w:rPr>
            </w:pPr>
          </w:p>
        </w:tc>
        <w:tc>
          <w:tcPr>
            <w:tcW w:w="1796" w:type="dxa"/>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2、成都华川公路建设集团有限公司</w:t>
            </w:r>
          </w:p>
        </w:tc>
        <w:tc>
          <w:tcPr>
            <w:tcW w:w="5153" w:type="dxa"/>
          </w:tcPr>
          <w:p>
            <w:pPr>
              <w:spacing w:line="4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成都华川于1994年在中华人民共和国境内设立，主要开展交通基础设施“投资、建设、运营”相关业务，具有国家公路工程施工总承包特级、公路行业设计甲级、市政公用工程总承包壹级等20余项专业资质。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09" w:type="dxa"/>
            <w:vMerge w:val="restart"/>
            <w:shd w:val="clear" w:color="auto" w:fill="D9D9D9"/>
            <w:vAlign w:val="center"/>
          </w:tcPr>
          <w:p>
            <w:pPr>
              <w:spacing w:line="50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简易案件理由（可以单选，也可以多选）</w:t>
            </w:r>
          </w:p>
        </w:tc>
        <w:tc>
          <w:tcPr>
            <w:tcW w:w="6949" w:type="dxa"/>
            <w:gridSpan w:val="2"/>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szCs w:val="24"/>
              </w:rPr>
            </w:pPr>
          </w:p>
        </w:tc>
        <w:tc>
          <w:tcPr>
            <w:tcW w:w="6949" w:type="dxa"/>
            <w:gridSpan w:val="2"/>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sym w:font="Wingdings 2" w:char="0052"/>
            </w:r>
            <w:r>
              <w:rPr>
                <w:rFonts w:hint="eastAsia" w:ascii="仿宋" w:hAnsi="仿宋" w:eastAsia="仿宋" w:cs="宋体"/>
                <w:color w:val="333333"/>
                <w:kern w:val="0"/>
                <w:sz w:val="24"/>
                <w:szCs w:val="24"/>
              </w:rPr>
              <w:t>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szCs w:val="24"/>
              </w:rPr>
            </w:pPr>
          </w:p>
        </w:tc>
        <w:tc>
          <w:tcPr>
            <w:tcW w:w="6949" w:type="dxa"/>
            <w:gridSpan w:val="2"/>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□3</w:t>
            </w:r>
            <w:r>
              <w:rPr>
                <w:rFonts w:hint="eastAsia" w:ascii="仿宋" w:hAnsi="仿宋" w:eastAsia="仿宋" w:cs="宋体"/>
                <w:color w:val="333333"/>
                <w:kern w:val="0"/>
                <w:sz w:val="24"/>
                <w:szCs w:val="24"/>
                <w:highlight w:val="none"/>
              </w:rPr>
              <w:t>.不在同一相关市场、也不存在上下游关系的参与集中的经营者，在与交易有关的每个市场所占的份额均小于25%。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szCs w:val="24"/>
              </w:rPr>
            </w:pPr>
          </w:p>
        </w:tc>
        <w:tc>
          <w:tcPr>
            <w:tcW w:w="6949" w:type="dxa"/>
            <w:gridSpan w:val="2"/>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szCs w:val="24"/>
              </w:rPr>
            </w:pPr>
          </w:p>
        </w:tc>
        <w:tc>
          <w:tcPr>
            <w:tcW w:w="6949" w:type="dxa"/>
            <w:gridSpan w:val="2"/>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szCs w:val="24"/>
              </w:rPr>
            </w:pPr>
          </w:p>
        </w:tc>
        <w:tc>
          <w:tcPr>
            <w:tcW w:w="6949" w:type="dxa"/>
            <w:gridSpan w:val="2"/>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vAlign w:val="center"/>
          </w:tcPr>
          <w:p>
            <w:pPr>
              <w:spacing w:line="50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备注</w:t>
            </w:r>
          </w:p>
        </w:tc>
        <w:tc>
          <w:tcPr>
            <w:tcW w:w="6949" w:type="dxa"/>
            <w:gridSpan w:val="2"/>
          </w:tcPr>
          <w:p>
            <w:pPr>
              <w:spacing w:line="500" w:lineRule="exact"/>
              <w:rPr>
                <w:rFonts w:hint="eastAsia" w:ascii="仿宋" w:hAnsi="仿宋" w:eastAsia="仿宋" w:cs="宋体"/>
                <w:color w:val="333333"/>
                <w:kern w:val="0"/>
                <w:sz w:val="24"/>
                <w:szCs w:val="24"/>
                <w:highlight w:val="none"/>
                <w:lang w:eastAsia="zh-CN"/>
              </w:rPr>
            </w:pPr>
            <w:r>
              <w:rPr>
                <w:rFonts w:hint="eastAsia" w:ascii="仿宋" w:hAnsi="仿宋" w:eastAsia="仿宋" w:cs="宋体"/>
                <w:color w:val="333333"/>
                <w:kern w:val="0"/>
                <w:sz w:val="24"/>
                <w:szCs w:val="24"/>
                <w:highlight w:val="none"/>
                <w:lang w:eastAsia="zh-CN"/>
              </w:rPr>
              <w:t>下游：</w:t>
            </w:r>
          </w:p>
          <w:p>
            <w:pPr>
              <w:spacing w:line="500" w:lineRule="exact"/>
              <w:rPr>
                <w:rFonts w:ascii="仿宋" w:hAnsi="仿宋" w:eastAsia="仿宋" w:cs="宋体"/>
                <w:color w:val="333333"/>
                <w:kern w:val="0"/>
                <w:sz w:val="24"/>
                <w:szCs w:val="24"/>
                <w:highlight w:val="none"/>
              </w:rPr>
            </w:pPr>
            <w:r>
              <w:rPr>
                <w:rFonts w:hint="eastAsia" w:ascii="仿宋" w:hAnsi="仿宋" w:eastAsia="仿宋" w:cs="宋体"/>
                <w:color w:val="333333"/>
                <w:kern w:val="0"/>
                <w:sz w:val="24"/>
                <w:szCs w:val="24"/>
                <w:highlight w:val="none"/>
              </w:rPr>
              <w:t>1、相关</w:t>
            </w:r>
            <w:r>
              <w:rPr>
                <w:rFonts w:hint="eastAsia" w:ascii="仿宋" w:hAnsi="仿宋" w:eastAsia="仿宋" w:cs="宋体"/>
                <w:color w:val="333333"/>
                <w:kern w:val="0"/>
                <w:sz w:val="24"/>
                <w:szCs w:val="24"/>
                <w:highlight w:val="none"/>
                <w:lang w:eastAsia="zh-CN"/>
              </w:rPr>
              <w:t>商</w:t>
            </w:r>
            <w:r>
              <w:rPr>
                <w:rFonts w:hint="eastAsia" w:ascii="仿宋" w:hAnsi="仿宋" w:eastAsia="仿宋" w:cs="宋体"/>
                <w:color w:val="333333"/>
                <w:kern w:val="0"/>
                <w:sz w:val="24"/>
                <w:szCs w:val="24"/>
                <w:highlight w:val="none"/>
              </w:rPr>
              <w:t>品市场：高速公路建筑承包市场</w:t>
            </w:r>
          </w:p>
          <w:p>
            <w:pPr>
              <w:spacing w:line="500" w:lineRule="exact"/>
              <w:ind w:firstLine="318"/>
              <w:rPr>
                <w:rFonts w:ascii="仿宋" w:hAnsi="仿宋" w:eastAsia="仿宋" w:cs="宋体"/>
                <w:color w:val="333333"/>
                <w:kern w:val="0"/>
                <w:sz w:val="24"/>
                <w:szCs w:val="24"/>
                <w:highlight w:val="none"/>
              </w:rPr>
            </w:pPr>
            <w:r>
              <w:rPr>
                <w:rFonts w:hint="eastAsia" w:ascii="仿宋" w:hAnsi="仿宋" w:eastAsia="仿宋" w:cs="宋体"/>
                <w:color w:val="333333"/>
                <w:kern w:val="0"/>
                <w:sz w:val="24"/>
                <w:szCs w:val="24"/>
                <w:highlight w:val="none"/>
              </w:rPr>
              <w:t>相关地域市场：中国</w:t>
            </w:r>
          </w:p>
          <w:p>
            <w:pPr>
              <w:spacing w:line="500" w:lineRule="exact"/>
              <w:ind w:firstLine="318"/>
              <w:rPr>
                <w:rFonts w:ascii="仿宋" w:hAnsi="仿宋" w:eastAsia="仿宋" w:cs="宋体"/>
                <w:color w:val="333333"/>
                <w:kern w:val="0"/>
                <w:sz w:val="24"/>
                <w:szCs w:val="24"/>
                <w:highlight w:val="none"/>
              </w:rPr>
            </w:pPr>
            <w:r>
              <w:rPr>
                <w:rFonts w:hint="eastAsia" w:ascii="仿宋" w:hAnsi="仿宋" w:eastAsia="仿宋" w:cs="宋体"/>
                <w:color w:val="333333"/>
                <w:kern w:val="0"/>
                <w:sz w:val="24"/>
                <w:szCs w:val="24"/>
                <w:highlight w:val="none"/>
              </w:rPr>
              <w:t>市场份额：</w:t>
            </w:r>
          </w:p>
          <w:p>
            <w:pPr>
              <w:pStyle w:val="13"/>
              <w:numPr>
                <w:ilvl w:val="0"/>
                <w:numId w:val="1"/>
              </w:numPr>
              <w:spacing w:line="500" w:lineRule="exact"/>
              <w:rPr>
                <w:rFonts w:ascii="仿宋" w:hAnsi="仿宋" w:eastAsia="仿宋" w:cs="宋体"/>
                <w:color w:val="333333"/>
                <w:kern w:val="0"/>
                <w:sz w:val="24"/>
                <w:szCs w:val="24"/>
                <w:highlight w:val="none"/>
              </w:rPr>
            </w:pPr>
            <w:r>
              <w:rPr>
                <w:rFonts w:hint="eastAsia" w:ascii="仿宋" w:hAnsi="仿宋" w:eastAsia="仿宋" w:cs="宋体"/>
                <w:color w:val="333333"/>
                <w:kern w:val="0"/>
                <w:sz w:val="24"/>
                <w:szCs w:val="24"/>
                <w:highlight w:val="none"/>
              </w:rPr>
              <w:t>成都华川：不超过1%</w:t>
            </w:r>
          </w:p>
          <w:p>
            <w:pPr>
              <w:spacing w:line="500" w:lineRule="exact"/>
              <w:rPr>
                <w:rFonts w:ascii="仿宋" w:hAnsi="仿宋" w:eastAsia="仿宋" w:cs="宋体"/>
                <w:color w:val="333333"/>
                <w:kern w:val="0"/>
                <w:sz w:val="24"/>
                <w:szCs w:val="24"/>
                <w:highlight w:val="none"/>
              </w:rPr>
            </w:pPr>
            <w:r>
              <w:rPr>
                <w:rFonts w:hint="eastAsia" w:ascii="仿宋" w:hAnsi="仿宋" w:eastAsia="仿宋" w:cs="宋体"/>
                <w:color w:val="333333"/>
                <w:kern w:val="0"/>
                <w:sz w:val="24"/>
                <w:szCs w:val="24"/>
                <w:highlight w:val="none"/>
              </w:rPr>
              <w:t>2、相关</w:t>
            </w:r>
            <w:r>
              <w:rPr>
                <w:rFonts w:hint="eastAsia" w:ascii="仿宋" w:hAnsi="仿宋" w:eastAsia="仿宋" w:cs="宋体"/>
                <w:color w:val="333333"/>
                <w:kern w:val="0"/>
                <w:sz w:val="24"/>
                <w:szCs w:val="24"/>
                <w:highlight w:val="none"/>
                <w:lang w:eastAsia="zh-CN"/>
              </w:rPr>
              <w:t>商</w:t>
            </w:r>
            <w:r>
              <w:rPr>
                <w:rFonts w:hint="eastAsia" w:ascii="仿宋" w:hAnsi="仿宋" w:eastAsia="仿宋" w:cs="宋体"/>
                <w:color w:val="333333"/>
                <w:kern w:val="0"/>
                <w:sz w:val="24"/>
                <w:szCs w:val="24"/>
                <w:highlight w:val="none"/>
              </w:rPr>
              <w:t>品市场：一级公路建筑承包市场</w:t>
            </w:r>
          </w:p>
          <w:p>
            <w:pPr>
              <w:spacing w:line="500" w:lineRule="exact"/>
              <w:ind w:firstLine="318"/>
              <w:rPr>
                <w:rFonts w:ascii="仿宋" w:hAnsi="仿宋" w:eastAsia="仿宋" w:cs="宋体"/>
                <w:color w:val="333333"/>
                <w:kern w:val="0"/>
                <w:sz w:val="24"/>
                <w:szCs w:val="24"/>
                <w:highlight w:val="none"/>
              </w:rPr>
            </w:pPr>
            <w:r>
              <w:rPr>
                <w:rFonts w:hint="eastAsia" w:ascii="仿宋" w:hAnsi="仿宋" w:eastAsia="仿宋" w:cs="宋体"/>
                <w:color w:val="333333"/>
                <w:kern w:val="0"/>
                <w:sz w:val="24"/>
                <w:szCs w:val="24"/>
                <w:highlight w:val="none"/>
              </w:rPr>
              <w:t>相关地域市场：中国</w:t>
            </w:r>
          </w:p>
          <w:p>
            <w:pPr>
              <w:spacing w:line="500" w:lineRule="exact"/>
              <w:ind w:firstLine="318"/>
              <w:rPr>
                <w:rFonts w:ascii="仿宋" w:hAnsi="仿宋" w:eastAsia="仿宋" w:cs="宋体"/>
                <w:color w:val="333333"/>
                <w:kern w:val="0"/>
                <w:sz w:val="24"/>
                <w:szCs w:val="24"/>
                <w:highlight w:val="none"/>
              </w:rPr>
            </w:pPr>
            <w:r>
              <w:rPr>
                <w:rFonts w:hint="eastAsia" w:ascii="仿宋" w:hAnsi="仿宋" w:eastAsia="仿宋" w:cs="宋体"/>
                <w:color w:val="333333"/>
                <w:kern w:val="0"/>
                <w:sz w:val="24"/>
                <w:szCs w:val="24"/>
                <w:highlight w:val="none"/>
              </w:rPr>
              <w:t>市场份额：</w:t>
            </w:r>
          </w:p>
          <w:p>
            <w:pPr>
              <w:pStyle w:val="13"/>
              <w:numPr>
                <w:ilvl w:val="0"/>
                <w:numId w:val="1"/>
              </w:numPr>
              <w:spacing w:line="500" w:lineRule="exact"/>
              <w:rPr>
                <w:rFonts w:ascii="仿宋" w:hAnsi="仿宋" w:eastAsia="仿宋" w:cs="宋体"/>
                <w:color w:val="333333"/>
                <w:kern w:val="0"/>
                <w:sz w:val="24"/>
                <w:szCs w:val="24"/>
                <w:highlight w:val="none"/>
              </w:rPr>
            </w:pPr>
            <w:r>
              <w:rPr>
                <w:rFonts w:hint="eastAsia" w:ascii="仿宋" w:hAnsi="仿宋" w:eastAsia="仿宋" w:cs="宋体"/>
                <w:color w:val="333333"/>
                <w:kern w:val="0"/>
                <w:sz w:val="24"/>
                <w:szCs w:val="24"/>
                <w:highlight w:val="none"/>
              </w:rPr>
              <w:t>成都华川：不超过1%</w:t>
            </w:r>
          </w:p>
          <w:p>
            <w:pPr>
              <w:spacing w:line="500" w:lineRule="exact"/>
              <w:rPr>
                <w:rFonts w:hint="eastAsia" w:ascii="仿宋" w:hAnsi="仿宋" w:eastAsia="仿宋" w:cs="宋体"/>
                <w:color w:val="333333"/>
                <w:kern w:val="0"/>
                <w:sz w:val="24"/>
                <w:szCs w:val="24"/>
                <w:highlight w:val="none"/>
                <w:lang w:eastAsia="zh-CN"/>
              </w:rPr>
            </w:pPr>
            <w:r>
              <w:rPr>
                <w:rFonts w:hint="eastAsia" w:ascii="仿宋" w:hAnsi="仿宋" w:eastAsia="仿宋" w:cs="宋体"/>
                <w:color w:val="333333"/>
                <w:kern w:val="0"/>
                <w:sz w:val="24"/>
                <w:szCs w:val="24"/>
                <w:highlight w:val="none"/>
                <w:lang w:eastAsia="zh-CN"/>
              </w:rPr>
              <w:t>上游：</w:t>
            </w:r>
          </w:p>
          <w:p>
            <w:pPr>
              <w:spacing w:line="500" w:lineRule="exact"/>
              <w:rPr>
                <w:rFonts w:ascii="仿宋" w:hAnsi="仿宋" w:eastAsia="仿宋" w:cs="宋体"/>
                <w:color w:val="333333"/>
                <w:kern w:val="0"/>
                <w:sz w:val="24"/>
                <w:szCs w:val="24"/>
                <w:highlight w:val="none"/>
              </w:rPr>
            </w:pPr>
            <w:r>
              <w:rPr>
                <w:rFonts w:hint="eastAsia" w:ascii="仿宋" w:hAnsi="仿宋" w:eastAsia="仿宋" w:cs="宋体"/>
                <w:color w:val="333333"/>
                <w:kern w:val="0"/>
                <w:sz w:val="24"/>
                <w:szCs w:val="24"/>
                <w:highlight w:val="none"/>
                <w:lang w:val="en-US" w:eastAsia="zh-CN"/>
              </w:rPr>
              <w:t>3</w:t>
            </w:r>
            <w:r>
              <w:rPr>
                <w:rFonts w:hint="eastAsia" w:ascii="仿宋" w:hAnsi="仿宋" w:eastAsia="仿宋" w:cs="宋体"/>
                <w:color w:val="333333"/>
                <w:kern w:val="0"/>
                <w:sz w:val="24"/>
                <w:szCs w:val="24"/>
                <w:highlight w:val="none"/>
              </w:rPr>
              <w:t>、相关</w:t>
            </w:r>
            <w:r>
              <w:rPr>
                <w:rFonts w:hint="eastAsia" w:ascii="仿宋" w:hAnsi="仿宋" w:eastAsia="仿宋" w:cs="宋体"/>
                <w:color w:val="333333"/>
                <w:kern w:val="0"/>
                <w:sz w:val="24"/>
                <w:szCs w:val="24"/>
                <w:highlight w:val="none"/>
                <w:lang w:eastAsia="zh-CN"/>
              </w:rPr>
              <w:t>商</w:t>
            </w:r>
            <w:r>
              <w:rPr>
                <w:rFonts w:hint="eastAsia" w:ascii="仿宋" w:hAnsi="仿宋" w:eastAsia="仿宋" w:cs="宋体"/>
                <w:color w:val="333333"/>
                <w:kern w:val="0"/>
                <w:sz w:val="24"/>
                <w:szCs w:val="24"/>
                <w:highlight w:val="none"/>
              </w:rPr>
              <w:t>品市场：钢材批发</w:t>
            </w:r>
          </w:p>
          <w:p>
            <w:pPr>
              <w:spacing w:line="500" w:lineRule="exact"/>
              <w:ind w:firstLine="318"/>
              <w:rPr>
                <w:rFonts w:ascii="仿宋" w:hAnsi="仿宋" w:eastAsia="仿宋" w:cs="宋体"/>
                <w:color w:val="333333"/>
                <w:kern w:val="0"/>
                <w:sz w:val="24"/>
                <w:szCs w:val="24"/>
                <w:highlight w:val="none"/>
              </w:rPr>
            </w:pPr>
            <w:r>
              <w:rPr>
                <w:rFonts w:hint="eastAsia" w:ascii="仿宋" w:hAnsi="仿宋" w:eastAsia="仿宋" w:cs="宋体"/>
                <w:color w:val="333333"/>
                <w:kern w:val="0"/>
                <w:sz w:val="24"/>
                <w:szCs w:val="24"/>
                <w:highlight w:val="none"/>
              </w:rPr>
              <w:t>相关地域市场：中国</w:t>
            </w:r>
          </w:p>
          <w:p>
            <w:pPr>
              <w:spacing w:line="500" w:lineRule="exact"/>
              <w:ind w:firstLine="318"/>
              <w:rPr>
                <w:rFonts w:ascii="仿宋" w:hAnsi="仿宋" w:eastAsia="仿宋" w:cs="宋体"/>
                <w:color w:val="333333"/>
                <w:kern w:val="0"/>
                <w:sz w:val="24"/>
                <w:szCs w:val="24"/>
                <w:highlight w:val="none"/>
              </w:rPr>
            </w:pPr>
            <w:r>
              <w:rPr>
                <w:rFonts w:hint="eastAsia" w:ascii="仿宋" w:hAnsi="仿宋" w:eastAsia="仿宋" w:cs="宋体"/>
                <w:color w:val="333333"/>
                <w:kern w:val="0"/>
                <w:sz w:val="24"/>
                <w:szCs w:val="24"/>
                <w:highlight w:val="none"/>
              </w:rPr>
              <w:t>市场份额：</w:t>
            </w:r>
          </w:p>
          <w:p>
            <w:pPr>
              <w:pStyle w:val="13"/>
              <w:numPr>
                <w:ilvl w:val="0"/>
                <w:numId w:val="1"/>
              </w:num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广西建工（上游）：不高于0</w:t>
            </w:r>
            <w:r>
              <w:rPr>
                <w:rFonts w:ascii="仿宋" w:hAnsi="仿宋" w:eastAsia="仿宋" w:cs="宋体"/>
                <w:color w:val="333333"/>
                <w:kern w:val="0"/>
                <w:sz w:val="24"/>
                <w:szCs w:val="24"/>
              </w:rPr>
              <w:t>.</w:t>
            </w:r>
            <w:r>
              <w:rPr>
                <w:rFonts w:hint="eastAsia" w:ascii="仿宋" w:hAnsi="仿宋" w:eastAsia="仿宋" w:cs="宋体"/>
                <w:color w:val="333333"/>
                <w:kern w:val="0"/>
                <w:sz w:val="24"/>
                <w:szCs w:val="24"/>
              </w:rPr>
              <w:t>2</w:t>
            </w:r>
            <w:r>
              <w:rPr>
                <w:rFonts w:ascii="仿宋" w:hAnsi="仿宋" w:eastAsia="仿宋" w:cs="宋体"/>
                <w:color w:val="333333"/>
                <w:kern w:val="0"/>
                <w:sz w:val="24"/>
                <w:szCs w:val="24"/>
              </w:rPr>
              <w:t>%</w:t>
            </w:r>
          </w:p>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lang w:val="en-US" w:eastAsia="zh-CN"/>
              </w:rPr>
              <w:t>4</w:t>
            </w:r>
            <w:r>
              <w:rPr>
                <w:rFonts w:hint="eastAsia" w:ascii="仿宋" w:hAnsi="仿宋" w:eastAsia="仿宋" w:cs="宋体"/>
                <w:color w:val="333333"/>
                <w:kern w:val="0"/>
                <w:sz w:val="24"/>
                <w:szCs w:val="24"/>
              </w:rPr>
              <w:t>、相关</w:t>
            </w:r>
            <w:r>
              <w:rPr>
                <w:rFonts w:hint="eastAsia" w:ascii="仿宋" w:hAnsi="仿宋" w:eastAsia="仿宋" w:cs="宋体"/>
                <w:color w:val="333333"/>
                <w:kern w:val="0"/>
                <w:sz w:val="24"/>
                <w:szCs w:val="24"/>
                <w:lang w:eastAsia="zh-CN"/>
              </w:rPr>
              <w:t>商</w:t>
            </w:r>
            <w:r>
              <w:rPr>
                <w:rFonts w:hint="eastAsia" w:ascii="仿宋" w:hAnsi="仿宋" w:eastAsia="仿宋" w:cs="宋体"/>
                <w:color w:val="333333"/>
                <w:kern w:val="0"/>
                <w:sz w:val="24"/>
                <w:szCs w:val="24"/>
              </w:rPr>
              <w:t>品市场：工程机械贸易与租赁</w:t>
            </w:r>
          </w:p>
          <w:p>
            <w:pPr>
              <w:spacing w:line="500" w:lineRule="exact"/>
              <w:ind w:firstLine="318"/>
              <w:rPr>
                <w:rFonts w:ascii="仿宋" w:hAnsi="仿宋" w:eastAsia="仿宋" w:cs="宋体"/>
                <w:color w:val="333333"/>
                <w:kern w:val="0"/>
                <w:sz w:val="24"/>
                <w:szCs w:val="24"/>
              </w:rPr>
            </w:pPr>
            <w:r>
              <w:rPr>
                <w:rFonts w:hint="eastAsia" w:ascii="仿宋" w:hAnsi="仿宋" w:eastAsia="仿宋" w:cs="宋体"/>
                <w:color w:val="333333"/>
                <w:kern w:val="0"/>
                <w:sz w:val="24"/>
                <w:szCs w:val="24"/>
              </w:rPr>
              <w:t>相关地域市场：中国</w:t>
            </w:r>
          </w:p>
          <w:p>
            <w:pPr>
              <w:spacing w:line="500" w:lineRule="exact"/>
              <w:ind w:firstLine="318"/>
              <w:rPr>
                <w:rFonts w:ascii="仿宋" w:hAnsi="仿宋" w:eastAsia="仿宋" w:cs="宋体"/>
                <w:color w:val="333333"/>
                <w:kern w:val="0"/>
                <w:sz w:val="24"/>
                <w:szCs w:val="24"/>
              </w:rPr>
            </w:pPr>
            <w:r>
              <w:rPr>
                <w:rFonts w:hint="eastAsia" w:ascii="仿宋" w:hAnsi="仿宋" w:eastAsia="仿宋" w:cs="宋体"/>
                <w:color w:val="333333"/>
                <w:kern w:val="0"/>
                <w:sz w:val="24"/>
                <w:szCs w:val="24"/>
              </w:rPr>
              <w:t>市场份额：</w:t>
            </w:r>
          </w:p>
          <w:p>
            <w:pPr>
              <w:pStyle w:val="13"/>
              <w:numPr>
                <w:ilvl w:val="0"/>
                <w:numId w:val="1"/>
              </w:num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广西建工（上游）：不高于0.</w:t>
            </w:r>
            <w:r>
              <w:rPr>
                <w:rFonts w:ascii="仿宋" w:hAnsi="仿宋" w:eastAsia="仿宋" w:cs="宋体"/>
                <w:color w:val="333333"/>
                <w:kern w:val="0"/>
                <w:sz w:val="24"/>
                <w:szCs w:val="24"/>
              </w:rPr>
              <w:t>4</w:t>
            </w:r>
            <w:r>
              <w:rPr>
                <w:rFonts w:hint="eastAsia" w:ascii="仿宋" w:hAnsi="仿宋" w:eastAsia="仿宋" w:cs="宋体"/>
                <w:color w:val="333333"/>
                <w:kern w:val="0"/>
                <w:sz w:val="24"/>
                <w:szCs w:val="24"/>
              </w:rPr>
              <w:t>%</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Segoe UI">
    <w:altName w:val="Noto Naskh Arabic"/>
    <w:panose1 w:val="020B0502040204020203"/>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altName w:val="DejaVu Sans"/>
    <w:panose1 w:val="02070309020205020404"/>
    <w:charset w:val="00"/>
    <w:family w:val="modern"/>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oto Naskh Arabic">
    <w:panose1 w:val="020B0502040504020204"/>
    <w:charset w:val="00"/>
    <w:family w:val="auto"/>
    <w:pitch w:val="default"/>
    <w:sig w:usb0="00002000" w:usb1="80000000" w:usb2="00000008" w:usb3="00000000" w:csb0="00000041" w:csb1="00080000"/>
  </w:font>
  <w:font w:name="方正宋体S-超大字符集">
    <w:panose1 w:val="02000000000000000000"/>
    <w:charset w:val="86"/>
    <w:family w:val="auto"/>
    <w:pitch w:val="default"/>
    <w:sig w:usb0="00000001" w:usb1="08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30A65"/>
    <w:multiLevelType w:val="multilevel"/>
    <w:tmpl w:val="0F130A65"/>
    <w:lvl w:ilvl="0" w:tentative="0">
      <w:start w:val="1"/>
      <w:numFmt w:val="bullet"/>
      <w:lvlText w:val=""/>
      <w:lvlJc w:val="left"/>
      <w:pPr>
        <w:ind w:left="1038" w:hanging="360"/>
      </w:pPr>
      <w:rPr>
        <w:rFonts w:hint="default" w:ascii="Symbol" w:hAnsi="Symbol"/>
      </w:rPr>
    </w:lvl>
    <w:lvl w:ilvl="1" w:tentative="0">
      <w:start w:val="1"/>
      <w:numFmt w:val="bullet"/>
      <w:lvlText w:val="o"/>
      <w:lvlJc w:val="left"/>
      <w:pPr>
        <w:ind w:left="1758" w:hanging="360"/>
      </w:pPr>
      <w:rPr>
        <w:rFonts w:hint="default" w:ascii="Courier New" w:hAnsi="Courier New" w:cs="Courier New"/>
      </w:rPr>
    </w:lvl>
    <w:lvl w:ilvl="2" w:tentative="0">
      <w:start w:val="1"/>
      <w:numFmt w:val="bullet"/>
      <w:lvlText w:val=""/>
      <w:lvlJc w:val="left"/>
      <w:pPr>
        <w:ind w:left="2478" w:hanging="360"/>
      </w:pPr>
      <w:rPr>
        <w:rFonts w:hint="default" w:ascii="Wingdings" w:hAnsi="Wingdings"/>
      </w:rPr>
    </w:lvl>
    <w:lvl w:ilvl="3" w:tentative="0">
      <w:start w:val="1"/>
      <w:numFmt w:val="bullet"/>
      <w:lvlText w:val=""/>
      <w:lvlJc w:val="left"/>
      <w:pPr>
        <w:ind w:left="3198" w:hanging="360"/>
      </w:pPr>
      <w:rPr>
        <w:rFonts w:hint="default" w:ascii="Symbol" w:hAnsi="Symbol"/>
      </w:rPr>
    </w:lvl>
    <w:lvl w:ilvl="4" w:tentative="0">
      <w:start w:val="1"/>
      <w:numFmt w:val="bullet"/>
      <w:lvlText w:val="o"/>
      <w:lvlJc w:val="left"/>
      <w:pPr>
        <w:ind w:left="3918" w:hanging="360"/>
      </w:pPr>
      <w:rPr>
        <w:rFonts w:hint="default" w:ascii="Courier New" w:hAnsi="Courier New" w:cs="Courier New"/>
      </w:rPr>
    </w:lvl>
    <w:lvl w:ilvl="5" w:tentative="0">
      <w:start w:val="1"/>
      <w:numFmt w:val="bullet"/>
      <w:lvlText w:val=""/>
      <w:lvlJc w:val="left"/>
      <w:pPr>
        <w:ind w:left="4638" w:hanging="360"/>
      </w:pPr>
      <w:rPr>
        <w:rFonts w:hint="default" w:ascii="Wingdings" w:hAnsi="Wingdings"/>
      </w:rPr>
    </w:lvl>
    <w:lvl w:ilvl="6" w:tentative="0">
      <w:start w:val="1"/>
      <w:numFmt w:val="bullet"/>
      <w:lvlText w:val=""/>
      <w:lvlJc w:val="left"/>
      <w:pPr>
        <w:ind w:left="5358" w:hanging="360"/>
      </w:pPr>
      <w:rPr>
        <w:rFonts w:hint="default" w:ascii="Symbol" w:hAnsi="Symbol"/>
      </w:rPr>
    </w:lvl>
    <w:lvl w:ilvl="7" w:tentative="0">
      <w:start w:val="1"/>
      <w:numFmt w:val="bullet"/>
      <w:lvlText w:val="o"/>
      <w:lvlJc w:val="left"/>
      <w:pPr>
        <w:ind w:left="6078" w:hanging="360"/>
      </w:pPr>
      <w:rPr>
        <w:rFonts w:hint="default" w:ascii="Courier New" w:hAnsi="Courier New" w:cs="Courier New"/>
      </w:rPr>
    </w:lvl>
    <w:lvl w:ilvl="8" w:tentative="0">
      <w:start w:val="1"/>
      <w:numFmt w:val="bullet"/>
      <w:lvlText w:val=""/>
      <w:lvlJc w:val="left"/>
      <w:pPr>
        <w:ind w:left="6798"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DF"/>
    <w:rsid w:val="00037065"/>
    <w:rsid w:val="000535AF"/>
    <w:rsid w:val="0005644B"/>
    <w:rsid w:val="000569E0"/>
    <w:rsid w:val="00075CCC"/>
    <w:rsid w:val="00094A5B"/>
    <w:rsid w:val="000A4EE7"/>
    <w:rsid w:val="000D3AFF"/>
    <w:rsid w:val="000D7EBA"/>
    <w:rsid w:val="00112A06"/>
    <w:rsid w:val="001164CD"/>
    <w:rsid w:val="00155717"/>
    <w:rsid w:val="00175293"/>
    <w:rsid w:val="001837A3"/>
    <w:rsid w:val="00272196"/>
    <w:rsid w:val="002958AC"/>
    <w:rsid w:val="002A43D2"/>
    <w:rsid w:val="003419AD"/>
    <w:rsid w:val="003606A3"/>
    <w:rsid w:val="00393387"/>
    <w:rsid w:val="003A4B06"/>
    <w:rsid w:val="003B20BB"/>
    <w:rsid w:val="003C0A8A"/>
    <w:rsid w:val="003C0AEB"/>
    <w:rsid w:val="003D3B04"/>
    <w:rsid w:val="003E708E"/>
    <w:rsid w:val="0040236E"/>
    <w:rsid w:val="00410027"/>
    <w:rsid w:val="00412B6A"/>
    <w:rsid w:val="004339C8"/>
    <w:rsid w:val="00464C41"/>
    <w:rsid w:val="00493441"/>
    <w:rsid w:val="004F7688"/>
    <w:rsid w:val="00510765"/>
    <w:rsid w:val="00522534"/>
    <w:rsid w:val="00547AEE"/>
    <w:rsid w:val="0061188D"/>
    <w:rsid w:val="006142B2"/>
    <w:rsid w:val="006467D8"/>
    <w:rsid w:val="00666B04"/>
    <w:rsid w:val="00683DED"/>
    <w:rsid w:val="006A3293"/>
    <w:rsid w:val="006A531B"/>
    <w:rsid w:val="006B2FBA"/>
    <w:rsid w:val="006D25A2"/>
    <w:rsid w:val="006E28D9"/>
    <w:rsid w:val="006F7693"/>
    <w:rsid w:val="00710140"/>
    <w:rsid w:val="00720463"/>
    <w:rsid w:val="007C4976"/>
    <w:rsid w:val="007E2979"/>
    <w:rsid w:val="007E4A83"/>
    <w:rsid w:val="007F2275"/>
    <w:rsid w:val="00801A4D"/>
    <w:rsid w:val="00824D2B"/>
    <w:rsid w:val="00831392"/>
    <w:rsid w:val="00843E54"/>
    <w:rsid w:val="00886554"/>
    <w:rsid w:val="00890D7C"/>
    <w:rsid w:val="008A135B"/>
    <w:rsid w:val="008F32EF"/>
    <w:rsid w:val="008F45E4"/>
    <w:rsid w:val="00915F0F"/>
    <w:rsid w:val="009532DF"/>
    <w:rsid w:val="00961C8E"/>
    <w:rsid w:val="00964DF5"/>
    <w:rsid w:val="0099324F"/>
    <w:rsid w:val="00997019"/>
    <w:rsid w:val="009A5029"/>
    <w:rsid w:val="009D1CE4"/>
    <w:rsid w:val="009D38D5"/>
    <w:rsid w:val="00A50F6B"/>
    <w:rsid w:val="00A53F26"/>
    <w:rsid w:val="00A55696"/>
    <w:rsid w:val="00A731AD"/>
    <w:rsid w:val="00A9194C"/>
    <w:rsid w:val="00A97DE5"/>
    <w:rsid w:val="00AA0CC5"/>
    <w:rsid w:val="00AA127F"/>
    <w:rsid w:val="00B16AFE"/>
    <w:rsid w:val="00B22EB7"/>
    <w:rsid w:val="00B65DD5"/>
    <w:rsid w:val="00B73F98"/>
    <w:rsid w:val="00BD10B6"/>
    <w:rsid w:val="00C07076"/>
    <w:rsid w:val="00C31659"/>
    <w:rsid w:val="00C500E6"/>
    <w:rsid w:val="00C629E7"/>
    <w:rsid w:val="00C82DDE"/>
    <w:rsid w:val="00CB00DF"/>
    <w:rsid w:val="00CF08F7"/>
    <w:rsid w:val="00D33EB6"/>
    <w:rsid w:val="00D73C72"/>
    <w:rsid w:val="00D76D81"/>
    <w:rsid w:val="00E0592B"/>
    <w:rsid w:val="00E31738"/>
    <w:rsid w:val="00E47CAF"/>
    <w:rsid w:val="00E665D6"/>
    <w:rsid w:val="00E86786"/>
    <w:rsid w:val="00EB1023"/>
    <w:rsid w:val="00EB525F"/>
    <w:rsid w:val="00ED2F80"/>
    <w:rsid w:val="00F1624E"/>
    <w:rsid w:val="00F32F8A"/>
    <w:rsid w:val="00F5582B"/>
    <w:rsid w:val="00F810AA"/>
    <w:rsid w:val="00FB43EC"/>
    <w:rsid w:val="00FB6B40"/>
    <w:rsid w:val="00FF1816"/>
    <w:rsid w:val="1278484F"/>
    <w:rsid w:val="15871D6E"/>
    <w:rsid w:val="17BD64B5"/>
    <w:rsid w:val="353B6CC8"/>
    <w:rsid w:val="42832A63"/>
    <w:rsid w:val="53553712"/>
    <w:rsid w:val="5ADD3A77"/>
    <w:rsid w:val="62A722CF"/>
    <w:rsid w:val="65286731"/>
    <w:rsid w:val="67704441"/>
    <w:rsid w:val="6AA616ED"/>
    <w:rsid w:val="6FD07DC8"/>
    <w:rsid w:val="718C0F60"/>
    <w:rsid w:val="BFD7A4A7"/>
    <w:rsid w:val="FF3FB2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rPr>
      <w:sz w:val="20"/>
      <w:szCs w:val="20"/>
    </w:rPr>
  </w:style>
  <w:style w:type="paragraph" w:styleId="3">
    <w:name w:val="Balloon Text"/>
    <w:basedOn w:val="1"/>
    <w:link w:val="12"/>
    <w:semiHidden/>
    <w:unhideWhenUsed/>
    <w:qFormat/>
    <w:uiPriority w:val="99"/>
    <w:rPr>
      <w:rFonts w:ascii="Segoe UI" w:hAnsi="Segoe UI" w:cs="Segoe UI"/>
      <w:sz w:val="18"/>
      <w:szCs w:val="18"/>
    </w:rPr>
  </w:style>
  <w:style w:type="paragraph" w:styleId="4">
    <w:name w:val="footer"/>
    <w:basedOn w:val="1"/>
    <w:link w:val="15"/>
    <w:unhideWhenUsed/>
    <w:qFormat/>
    <w:uiPriority w:val="99"/>
    <w:pPr>
      <w:tabs>
        <w:tab w:val="center" w:pos="4320"/>
        <w:tab w:val="right" w:pos="8640"/>
      </w:tabs>
    </w:pPr>
  </w:style>
  <w:style w:type="paragraph" w:styleId="5">
    <w:name w:val="header"/>
    <w:basedOn w:val="1"/>
    <w:link w:val="14"/>
    <w:unhideWhenUsed/>
    <w:qFormat/>
    <w:uiPriority w:val="99"/>
    <w:pPr>
      <w:tabs>
        <w:tab w:val="center" w:pos="4320"/>
        <w:tab w:val="right" w:pos="8640"/>
      </w:tabs>
    </w:pPr>
  </w:style>
  <w:style w:type="paragraph" w:styleId="6">
    <w:name w:val="annotation subject"/>
    <w:basedOn w:val="2"/>
    <w:next w:val="2"/>
    <w:link w:val="11"/>
    <w:semiHidden/>
    <w:unhideWhenUsed/>
    <w:qFormat/>
    <w:uiPriority w:val="99"/>
    <w:rPr>
      <w:b/>
      <w:bCs/>
    </w:rPr>
  </w:style>
  <w:style w:type="character" w:styleId="9">
    <w:name w:val="annotation reference"/>
    <w:basedOn w:val="8"/>
    <w:semiHidden/>
    <w:unhideWhenUsed/>
    <w:qFormat/>
    <w:uiPriority w:val="99"/>
    <w:rPr>
      <w:sz w:val="16"/>
      <w:szCs w:val="16"/>
    </w:rPr>
  </w:style>
  <w:style w:type="character" w:customStyle="1" w:styleId="10">
    <w:name w:val="Comment Text Char"/>
    <w:basedOn w:val="8"/>
    <w:link w:val="2"/>
    <w:semiHidden/>
    <w:qFormat/>
    <w:uiPriority w:val="99"/>
    <w:rPr>
      <w:rFonts w:ascii="Calibri" w:hAnsi="Calibri" w:eastAsia="宋体" w:cs="Times New Roman"/>
      <w:sz w:val="20"/>
      <w:szCs w:val="20"/>
    </w:rPr>
  </w:style>
  <w:style w:type="character" w:customStyle="1" w:styleId="11">
    <w:name w:val="Comment Subject Char"/>
    <w:basedOn w:val="10"/>
    <w:link w:val="6"/>
    <w:semiHidden/>
    <w:qFormat/>
    <w:uiPriority w:val="99"/>
    <w:rPr>
      <w:rFonts w:ascii="Calibri" w:hAnsi="Calibri" w:eastAsia="宋体" w:cs="Times New Roman"/>
      <w:b/>
      <w:bCs/>
      <w:sz w:val="20"/>
      <w:szCs w:val="20"/>
    </w:rPr>
  </w:style>
  <w:style w:type="character" w:customStyle="1" w:styleId="12">
    <w:name w:val="Balloon Text Char"/>
    <w:basedOn w:val="8"/>
    <w:link w:val="3"/>
    <w:semiHidden/>
    <w:qFormat/>
    <w:uiPriority w:val="99"/>
    <w:rPr>
      <w:rFonts w:ascii="Segoe UI" w:hAnsi="Segoe UI" w:eastAsia="宋体" w:cs="Segoe UI"/>
      <w:sz w:val="18"/>
      <w:szCs w:val="18"/>
    </w:rPr>
  </w:style>
  <w:style w:type="paragraph" w:styleId="13">
    <w:name w:val="List Paragraph"/>
    <w:basedOn w:val="1"/>
    <w:qFormat/>
    <w:uiPriority w:val="34"/>
    <w:pPr>
      <w:ind w:left="720"/>
      <w:contextualSpacing/>
    </w:pPr>
  </w:style>
  <w:style w:type="character" w:customStyle="1" w:styleId="14">
    <w:name w:val="Header Char"/>
    <w:basedOn w:val="8"/>
    <w:link w:val="5"/>
    <w:qFormat/>
    <w:uiPriority w:val="99"/>
    <w:rPr>
      <w:rFonts w:ascii="Calibri" w:hAnsi="Calibri" w:eastAsia="宋体" w:cs="Times New Roman"/>
    </w:rPr>
  </w:style>
  <w:style w:type="character" w:customStyle="1" w:styleId="15">
    <w:name w:val="Footer Char"/>
    <w:basedOn w:val="8"/>
    <w:link w:val="4"/>
    <w:qFormat/>
    <w:uiPriority w:val="99"/>
    <w:rPr>
      <w:rFonts w:ascii="Calibri" w:hAnsi="Calibri" w:eastAsia="宋体" w:cs="Times New Roman"/>
    </w:rPr>
  </w:style>
  <w:style w:type="paragraph" w:customStyle="1" w:styleId="16">
    <w:name w:val="Revision1"/>
    <w:hidden/>
    <w:semiHidden/>
    <w:qFormat/>
    <w:uiPriority w:val="99"/>
    <w:pPr>
      <w:spacing w:after="160" w:line="259" w:lineRule="auto"/>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Deloitte Touche Tohmatsu Services, Inc.</Company>
  <Pages>3</Pages>
  <Words>159</Words>
  <Characters>910</Characters>
  <Lines>7</Lines>
  <Paragraphs>2</Paragraphs>
  <TotalTime>2</TotalTime>
  <ScaleCrop>false</ScaleCrop>
  <LinksUpToDate>false</LinksUpToDate>
  <CharactersWithSpaces>1067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2021-08-18T10:37:00Z</dcterms:created>
  <dc:creator>陈媚</dc:creator>
  <cp:lastModifiedBy>greatwall</cp:lastModifiedBy>
  <dcterms:modified xsi:type="dcterms:W3CDTF">2021-10-11T15:54:47Z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64157B57D07446449FE9473FC0964EE6</vt:lpwstr>
  </property>
</Properties>
</file>