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DF" w:rsidRPr="006D5AC5" w:rsidRDefault="00CB00DF" w:rsidP="00CB00DF">
      <w:pPr>
        <w:spacing w:line="440" w:lineRule="exact"/>
        <w:jc w:val="center"/>
        <w:rPr>
          <w:rFonts w:ascii="Times New Roman" w:eastAsia="仿宋" w:hAnsi="Times New Roman"/>
          <w:b/>
          <w:sz w:val="24"/>
          <w:szCs w:val="24"/>
        </w:rPr>
      </w:pPr>
      <w:r w:rsidRPr="006D5AC5">
        <w:rPr>
          <w:rFonts w:ascii="Times New Roman" w:eastAsia="仿宋" w:hAnsi="Times New Roman"/>
          <w:b/>
          <w:sz w:val="24"/>
          <w:szCs w:val="24"/>
        </w:rPr>
        <w:t>经营者集中简易案件公示表</w:t>
      </w:r>
    </w:p>
    <w:p w:rsidR="00CB00DF" w:rsidRPr="0063443E" w:rsidRDefault="00CB00DF" w:rsidP="006D5AC5">
      <w:pPr>
        <w:spacing w:line="440" w:lineRule="exact"/>
        <w:rPr>
          <w:rFonts w:ascii="Times New Roman" w:eastAsia="仿宋" w:hAnsi="Times New Roman"/>
          <w:sz w:val="24"/>
          <w:szCs w:val="24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96"/>
        <w:gridCol w:w="5153"/>
      </w:tblGrid>
      <w:tr w:rsidR="00CB00DF" w:rsidRPr="0063443E" w:rsidTr="00CB00DF">
        <w:tc>
          <w:tcPr>
            <w:tcW w:w="1809" w:type="dxa"/>
            <w:shd w:val="clear" w:color="auto" w:fill="D9D9D9"/>
            <w:vAlign w:val="center"/>
          </w:tcPr>
          <w:p w:rsidR="00CB00DF" w:rsidRPr="0063443E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案件名称</w:t>
            </w:r>
          </w:p>
        </w:tc>
        <w:tc>
          <w:tcPr>
            <w:tcW w:w="6949" w:type="dxa"/>
            <w:gridSpan w:val="2"/>
          </w:tcPr>
          <w:p w:rsidR="00CB00DF" w:rsidRPr="0063443E" w:rsidRDefault="00AB3EEA" w:rsidP="006908A4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AB3EEA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魁北克储蓄投资集团与安大略省教师退休基金会委员会</w:t>
            </w:r>
            <w:r w:rsidR="00D961A0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等经营者</w:t>
            </w:r>
            <w:r w:rsidRPr="00AB3EEA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收购哥伦比亚共同人身保险公司股权案</w:t>
            </w:r>
          </w:p>
        </w:tc>
      </w:tr>
      <w:tr w:rsidR="00CB00DF" w:rsidRPr="0063443E" w:rsidTr="00CB00DF">
        <w:trPr>
          <w:trHeight w:val="993"/>
        </w:trPr>
        <w:tc>
          <w:tcPr>
            <w:tcW w:w="1809" w:type="dxa"/>
            <w:shd w:val="clear" w:color="auto" w:fill="D9D9D9"/>
            <w:vAlign w:val="center"/>
          </w:tcPr>
          <w:p w:rsidR="00F1624E" w:rsidRPr="0063443E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交易概况</w:t>
            </w:r>
          </w:p>
          <w:p w:rsidR="00CB00DF" w:rsidRPr="0063443E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（限</w:t>
            </w: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200</w:t>
            </w: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字内）</w:t>
            </w:r>
          </w:p>
        </w:tc>
        <w:tc>
          <w:tcPr>
            <w:tcW w:w="6949" w:type="dxa"/>
            <w:gridSpan w:val="2"/>
          </w:tcPr>
          <w:p w:rsidR="00A810A1" w:rsidRPr="007A300B" w:rsidRDefault="00A810A1" w:rsidP="007A300B">
            <w:pPr>
              <w:spacing w:line="50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7A300B">
              <w:rPr>
                <w:rFonts w:ascii="Times New Roman" w:eastAsia="仿宋" w:hAnsi="Times New Roman"/>
                <w:kern w:val="0"/>
                <w:sz w:val="24"/>
                <w:szCs w:val="24"/>
              </w:rPr>
              <w:t>本次交易涉及</w:t>
            </w:r>
            <w:r w:rsidRPr="0063443E">
              <w:rPr>
                <w:rFonts w:ascii="Times New Roman" w:eastAsia="仿宋" w:hAnsi="Times New Roman"/>
                <w:kern w:val="0"/>
                <w:sz w:val="24"/>
                <w:szCs w:val="24"/>
              </w:rPr>
              <w:t>魁北克储蓄投资集团（</w:t>
            </w:r>
            <w:r w:rsidRPr="0063443E">
              <w:rPr>
                <w:rFonts w:ascii="Times New Roman" w:eastAsia="仿宋" w:hAnsi="Times New Roman"/>
                <w:kern w:val="0"/>
                <w:sz w:val="24"/>
                <w:szCs w:val="24"/>
              </w:rPr>
              <w:t>Caisse de dépôt et placement du Québec</w:t>
            </w:r>
            <w:r w:rsidRPr="0063443E">
              <w:rPr>
                <w:rFonts w:ascii="Times New Roman" w:eastAsia="仿宋" w:hAnsi="Times New Roman"/>
                <w:kern w:val="0"/>
                <w:sz w:val="24"/>
                <w:szCs w:val="24"/>
              </w:rPr>
              <w:t>，</w:t>
            </w:r>
            <w:r w:rsidRPr="0063443E">
              <w:rPr>
                <w:rFonts w:ascii="Times New Roman" w:eastAsia="仿宋" w:hAnsi="Times New Roman"/>
                <w:kern w:val="0"/>
                <w:sz w:val="24"/>
                <w:szCs w:val="24"/>
              </w:rPr>
              <w:t>“</w:t>
            </w:r>
            <w:r w:rsidRPr="00170694">
              <w:rPr>
                <w:rFonts w:ascii="Times New Roman" w:eastAsia="仿宋" w:hAnsi="Times New Roman"/>
                <w:b/>
                <w:kern w:val="0"/>
                <w:sz w:val="24"/>
                <w:szCs w:val="24"/>
              </w:rPr>
              <w:t>CDPQ</w:t>
            </w:r>
            <w:r w:rsidRPr="0063443E">
              <w:rPr>
                <w:rFonts w:ascii="Times New Roman" w:eastAsia="仿宋" w:hAnsi="Times New Roman"/>
                <w:kern w:val="0"/>
                <w:sz w:val="24"/>
                <w:szCs w:val="24"/>
              </w:rPr>
              <w:t>”</w:t>
            </w:r>
            <w:r w:rsidRPr="0063443E">
              <w:rPr>
                <w:rFonts w:ascii="Times New Roman" w:eastAsia="仿宋" w:hAnsi="Times New Roman"/>
                <w:kern w:val="0"/>
                <w:sz w:val="24"/>
                <w:szCs w:val="24"/>
              </w:rPr>
              <w:t>）</w:t>
            </w:r>
            <w:r w:rsidR="00CF7F71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、</w:t>
            </w:r>
            <w:r w:rsidR="0063443E" w:rsidRPr="0063443E">
              <w:rPr>
                <w:rFonts w:ascii="Times New Roman" w:eastAsia="仿宋" w:hAnsi="Times New Roman"/>
                <w:kern w:val="0"/>
                <w:sz w:val="24"/>
                <w:szCs w:val="24"/>
              </w:rPr>
              <w:t>安大略省教师退休基金会委员会（</w:t>
            </w:r>
            <w:r w:rsidR="0063443E" w:rsidRPr="007A300B">
              <w:rPr>
                <w:rFonts w:ascii="Times New Roman" w:eastAsia="仿宋" w:hAnsi="Times New Roman"/>
                <w:kern w:val="0"/>
                <w:sz w:val="24"/>
                <w:szCs w:val="24"/>
              </w:rPr>
              <w:t>Ontario Teachers' Pension Plan Board</w:t>
            </w:r>
            <w:r w:rsidR="0063443E" w:rsidRPr="007A300B">
              <w:rPr>
                <w:rFonts w:ascii="Times New Roman" w:eastAsia="仿宋" w:hAnsi="Times New Roman"/>
                <w:kern w:val="0"/>
                <w:sz w:val="24"/>
                <w:szCs w:val="24"/>
              </w:rPr>
              <w:t>，</w:t>
            </w:r>
            <w:r w:rsidR="0063443E" w:rsidRPr="007A300B">
              <w:rPr>
                <w:rFonts w:ascii="Times New Roman" w:eastAsia="仿宋" w:hAnsi="Times New Roman"/>
                <w:kern w:val="0"/>
                <w:sz w:val="24"/>
                <w:szCs w:val="24"/>
              </w:rPr>
              <w:t>“</w:t>
            </w:r>
            <w:r w:rsidR="0063443E" w:rsidRPr="00170694">
              <w:rPr>
                <w:rFonts w:ascii="Times New Roman" w:eastAsia="仿宋" w:hAnsi="Times New Roman"/>
                <w:b/>
                <w:kern w:val="0"/>
                <w:sz w:val="24"/>
                <w:szCs w:val="24"/>
              </w:rPr>
              <w:t>OTPP</w:t>
            </w:r>
            <w:r w:rsidR="0063443E" w:rsidRPr="007A300B">
              <w:rPr>
                <w:rFonts w:ascii="Times New Roman" w:eastAsia="仿宋" w:hAnsi="Times New Roman"/>
                <w:kern w:val="0"/>
                <w:sz w:val="24"/>
                <w:szCs w:val="24"/>
              </w:rPr>
              <w:t>”</w:t>
            </w:r>
            <w:r w:rsidR="0063443E" w:rsidRPr="0063443E">
              <w:rPr>
                <w:rFonts w:ascii="Times New Roman" w:eastAsia="仿宋" w:hAnsi="Times New Roman"/>
                <w:kern w:val="0"/>
                <w:sz w:val="24"/>
                <w:szCs w:val="24"/>
              </w:rPr>
              <w:t>）</w:t>
            </w:r>
            <w:r w:rsidR="00CF7F71">
              <w:rPr>
                <w:rFonts w:ascii="Times New Roman" w:eastAsia="仿宋" w:hAnsi="Times New Roman"/>
                <w:kern w:val="0"/>
                <w:sz w:val="24"/>
                <w:szCs w:val="24"/>
              </w:rPr>
              <w:t>和</w:t>
            </w:r>
            <w:r w:rsidR="00CF7F71" w:rsidRPr="00CF7F71">
              <w:rPr>
                <w:rFonts w:ascii="Times New Roman" w:eastAsia="仿宋" w:hAnsi="Times New Roman"/>
                <w:kern w:val="0"/>
                <w:sz w:val="24"/>
                <w:szCs w:val="24"/>
              </w:rPr>
              <w:t>Anurag Chandra</w:t>
            </w:r>
            <w:r w:rsidR="00CF7F71">
              <w:rPr>
                <w:rFonts w:ascii="Times New Roman" w:eastAsia="仿宋" w:hAnsi="Times New Roman"/>
                <w:kern w:val="0"/>
                <w:sz w:val="24"/>
                <w:szCs w:val="24"/>
              </w:rPr>
              <w:t>先生</w:t>
            </w:r>
            <w:r w:rsidRPr="007A300B">
              <w:rPr>
                <w:rFonts w:ascii="Times New Roman" w:eastAsia="仿宋" w:hAnsi="Times New Roman"/>
                <w:kern w:val="0"/>
                <w:sz w:val="24"/>
                <w:szCs w:val="24"/>
              </w:rPr>
              <w:t>间接收购</w:t>
            </w:r>
            <w:r w:rsidR="00AB3EEA" w:rsidRPr="00AB3EEA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哥伦比亚共同人身保险公司</w:t>
            </w:r>
            <w:r w:rsidR="0063443E" w:rsidRPr="0063443E">
              <w:rPr>
                <w:rFonts w:ascii="Times New Roman" w:eastAsia="仿宋" w:hAnsi="Times New Roman"/>
                <w:kern w:val="0"/>
                <w:sz w:val="24"/>
                <w:szCs w:val="24"/>
              </w:rPr>
              <w:t>（</w:t>
            </w:r>
            <w:r w:rsidR="00AB3EEA" w:rsidRPr="00AB3EEA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Columbian Mutual Life Insurance Company</w:t>
            </w:r>
            <w:r w:rsidR="00AB3EEA" w:rsidRPr="00AB3EEA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，“</w:t>
            </w:r>
            <w:r w:rsidR="00AB3EEA" w:rsidRPr="00AB3EEA">
              <w:rPr>
                <w:rFonts w:ascii="Times New Roman" w:eastAsia="仿宋" w:hAnsi="Times New Roman" w:hint="eastAsia"/>
                <w:b/>
                <w:kern w:val="0"/>
                <w:sz w:val="24"/>
                <w:szCs w:val="24"/>
              </w:rPr>
              <w:t>CMLIC</w:t>
            </w:r>
            <w:r w:rsidR="00AB3EEA" w:rsidRPr="00AB3EEA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”</w:t>
            </w:r>
            <w:r w:rsidR="0063443E" w:rsidRPr="0063443E">
              <w:rPr>
                <w:rFonts w:ascii="Times New Roman" w:eastAsia="仿宋" w:hAnsi="Times New Roman"/>
                <w:kern w:val="0"/>
                <w:sz w:val="24"/>
                <w:szCs w:val="24"/>
              </w:rPr>
              <w:t>）</w:t>
            </w:r>
            <w:r w:rsidRPr="007A300B">
              <w:rPr>
                <w:rFonts w:ascii="Times New Roman" w:eastAsia="仿宋" w:hAnsi="Times New Roman"/>
                <w:kern w:val="0"/>
                <w:sz w:val="24"/>
                <w:szCs w:val="24"/>
              </w:rPr>
              <w:t>的共同控制权（</w:t>
            </w:r>
            <w:r w:rsidRPr="007A300B">
              <w:rPr>
                <w:rFonts w:ascii="Times New Roman" w:eastAsia="仿宋" w:hAnsi="Times New Roman"/>
                <w:kern w:val="0"/>
                <w:sz w:val="24"/>
                <w:szCs w:val="24"/>
              </w:rPr>
              <w:t>“</w:t>
            </w:r>
            <w:r w:rsidRPr="00170694">
              <w:rPr>
                <w:rFonts w:ascii="Times New Roman" w:eastAsia="仿宋" w:hAnsi="Times New Roman"/>
                <w:b/>
                <w:kern w:val="0"/>
                <w:sz w:val="24"/>
                <w:szCs w:val="24"/>
              </w:rPr>
              <w:t>本次交易</w:t>
            </w:r>
            <w:r w:rsidRPr="007A300B">
              <w:rPr>
                <w:rFonts w:ascii="Times New Roman" w:eastAsia="仿宋" w:hAnsi="Times New Roman"/>
                <w:kern w:val="0"/>
                <w:sz w:val="24"/>
                <w:szCs w:val="24"/>
              </w:rPr>
              <w:t>”</w:t>
            </w:r>
            <w:r w:rsidRPr="007A300B">
              <w:rPr>
                <w:rFonts w:ascii="Times New Roman" w:eastAsia="仿宋" w:hAnsi="Times New Roman"/>
                <w:kern w:val="0"/>
                <w:sz w:val="24"/>
                <w:szCs w:val="24"/>
              </w:rPr>
              <w:t>）。</w:t>
            </w:r>
          </w:p>
          <w:p w:rsidR="00CB00DF" w:rsidRPr="007A300B" w:rsidRDefault="0063443E" w:rsidP="00531037">
            <w:pPr>
              <w:spacing w:line="50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7A300B">
              <w:rPr>
                <w:rFonts w:ascii="Times New Roman" w:eastAsia="仿宋" w:hAnsi="Times New Roman"/>
                <w:kern w:val="0"/>
                <w:sz w:val="24"/>
                <w:szCs w:val="24"/>
              </w:rPr>
              <w:t>本次交易前</w:t>
            </w:r>
            <w:r w:rsidRPr="007A300B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 w:rsidR="007E715F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C</w:t>
            </w:r>
            <w:r w:rsidR="007E715F">
              <w:rPr>
                <w:rFonts w:ascii="Times New Roman" w:eastAsia="仿宋" w:hAnsi="Times New Roman"/>
                <w:kern w:val="0"/>
                <w:sz w:val="24"/>
                <w:szCs w:val="24"/>
              </w:rPr>
              <w:t>MLIC</w:t>
            </w:r>
            <w:r w:rsidRPr="007A300B">
              <w:rPr>
                <w:rFonts w:ascii="Times New Roman" w:eastAsia="仿宋" w:hAnsi="Times New Roman"/>
                <w:kern w:val="0"/>
                <w:sz w:val="24"/>
                <w:szCs w:val="24"/>
              </w:rPr>
              <w:t>是一家共同保险公司</w:t>
            </w:r>
            <w:r w:rsidRPr="007A300B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 w:rsidR="007E715F" w:rsidRPr="007E715F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由其投保人成员所有</w:t>
            </w:r>
            <w:r w:rsidRPr="007A300B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。</w:t>
            </w:r>
            <w:r w:rsidRPr="007A300B">
              <w:rPr>
                <w:rFonts w:ascii="Times New Roman" w:eastAsia="仿宋" w:hAnsi="Times New Roman"/>
                <w:kern w:val="0"/>
                <w:sz w:val="24"/>
                <w:szCs w:val="24"/>
              </w:rPr>
              <w:t>本次交易后</w:t>
            </w:r>
            <w:r w:rsidRPr="007A300B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 w:rsidR="00531037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C</w:t>
            </w:r>
            <w:r w:rsidR="00531037">
              <w:rPr>
                <w:rFonts w:ascii="Times New Roman" w:eastAsia="仿宋" w:hAnsi="Times New Roman"/>
                <w:kern w:val="0"/>
                <w:sz w:val="24"/>
                <w:szCs w:val="24"/>
              </w:rPr>
              <w:t>MLIC</w:t>
            </w:r>
            <w:r w:rsidRPr="007A300B">
              <w:rPr>
                <w:rFonts w:ascii="Times New Roman" w:eastAsia="仿宋" w:hAnsi="Times New Roman"/>
                <w:kern w:val="0"/>
                <w:sz w:val="24"/>
                <w:szCs w:val="24"/>
              </w:rPr>
              <w:t>将由</w:t>
            </w:r>
            <w:r w:rsidRPr="007A300B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CDPQ</w:t>
            </w:r>
            <w:r w:rsidR="003514CC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、</w:t>
            </w:r>
            <w:r w:rsidRPr="007A300B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OTPP</w:t>
            </w:r>
            <w:r w:rsidR="003514CC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和</w:t>
            </w:r>
            <w:r w:rsidR="003514CC" w:rsidRPr="00CF7F71">
              <w:rPr>
                <w:rFonts w:ascii="Times New Roman" w:eastAsia="仿宋" w:hAnsi="Times New Roman"/>
                <w:kern w:val="0"/>
                <w:sz w:val="24"/>
                <w:szCs w:val="24"/>
              </w:rPr>
              <w:t>Anurag Chandra</w:t>
            </w:r>
            <w:r w:rsidR="003514CC">
              <w:rPr>
                <w:rFonts w:ascii="Times New Roman" w:eastAsia="仿宋" w:hAnsi="Times New Roman"/>
                <w:kern w:val="0"/>
                <w:sz w:val="24"/>
                <w:szCs w:val="24"/>
              </w:rPr>
              <w:t>先生</w:t>
            </w:r>
            <w:r w:rsidRPr="007A300B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共同控制。</w:t>
            </w:r>
          </w:p>
        </w:tc>
      </w:tr>
      <w:tr w:rsidR="00CB00DF" w:rsidRPr="0063443E" w:rsidTr="00CB00DF">
        <w:trPr>
          <w:trHeight w:val="468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:rsidR="00F1624E" w:rsidRPr="0063443E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参与集中的</w:t>
            </w:r>
          </w:p>
          <w:p w:rsidR="00CB00DF" w:rsidRPr="0063443E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经营者简介</w:t>
            </w:r>
          </w:p>
        </w:tc>
        <w:tc>
          <w:tcPr>
            <w:tcW w:w="1796" w:type="dxa"/>
          </w:tcPr>
          <w:p w:rsidR="00CB00DF" w:rsidRPr="0063443E" w:rsidRDefault="00CB00DF" w:rsidP="006908A4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DE754C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CDPQ</w:t>
            </w:r>
          </w:p>
        </w:tc>
        <w:tc>
          <w:tcPr>
            <w:tcW w:w="5153" w:type="dxa"/>
          </w:tcPr>
          <w:p w:rsidR="00CB00DF" w:rsidRPr="0063443E" w:rsidRDefault="00DE754C" w:rsidP="0012754E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DE754C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CDPQ</w:t>
            </w:r>
            <w:r w:rsidRPr="00DE754C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是根据加拿大魁北克省国民议会的一项法案</w:t>
            </w:r>
            <w:r w:rsidR="0012754E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于</w:t>
            </w:r>
            <w:r w:rsidR="0012754E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1965</w:t>
            </w:r>
            <w:r w:rsidR="0012754E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DE754C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设立并受该法案监管的法人，</w:t>
            </w:r>
            <w:r w:rsidRPr="00DE754C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CDPQ</w:t>
            </w:r>
            <w:r w:rsidRPr="00DE754C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没有股本或股东。</w:t>
            </w:r>
            <w:r w:rsidR="0012754E" w:rsidRPr="0012754E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CDPQ</w:t>
            </w:r>
            <w:r w:rsidR="0012754E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是一家长期机构投资</w:t>
            </w:r>
            <w:r w:rsidR="0012754E" w:rsidRPr="0012754E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人，主要管理魁北克省公共和准公共养老金和保险计划的资金。</w:t>
            </w:r>
            <w:r w:rsidR="0012754E" w:rsidRPr="0012754E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CDPQ</w:t>
            </w:r>
            <w:r w:rsidR="0012754E" w:rsidRPr="0012754E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在全球范围内将</w:t>
            </w:r>
            <w:r w:rsidR="00014059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这些</w:t>
            </w:r>
            <w:r w:rsidR="0012754E" w:rsidRPr="0012754E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资金投资于三种主要资产类型：</w:t>
            </w:r>
            <w:r w:rsidR="009817B0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股票</w:t>
            </w:r>
            <w:r w:rsidR="0012754E" w:rsidRPr="0012754E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、固定收益和不动产。</w:t>
            </w:r>
          </w:p>
        </w:tc>
      </w:tr>
      <w:tr w:rsidR="00CB00DF" w:rsidRPr="0063443E" w:rsidTr="00CB00DF">
        <w:trPr>
          <w:trHeight w:val="404"/>
        </w:trPr>
        <w:tc>
          <w:tcPr>
            <w:tcW w:w="1809" w:type="dxa"/>
            <w:vMerge/>
            <w:shd w:val="clear" w:color="auto" w:fill="D9D9D9"/>
            <w:vAlign w:val="center"/>
          </w:tcPr>
          <w:p w:rsidR="00CB00DF" w:rsidRPr="0063443E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6" w:type="dxa"/>
          </w:tcPr>
          <w:p w:rsidR="00CB00DF" w:rsidRPr="0063443E" w:rsidRDefault="00CB00DF" w:rsidP="006908A4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59385E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OTPP</w:t>
            </w:r>
          </w:p>
        </w:tc>
        <w:tc>
          <w:tcPr>
            <w:tcW w:w="5153" w:type="dxa"/>
          </w:tcPr>
          <w:p w:rsidR="00CB00DF" w:rsidRPr="0063443E" w:rsidRDefault="0059385E" w:rsidP="00B4091D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59385E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OTPP</w:t>
            </w: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于</w:t>
            </w: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1990</w:t>
            </w: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日</w:t>
            </w:r>
            <w:r w:rsidR="0055553A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在加拿大设立</w:t>
            </w: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，</w:t>
            </w:r>
            <w:r w:rsidRPr="0059385E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是加拿大最大的单一型专业退休金计划机构。</w:t>
            </w:r>
            <w:r w:rsidR="0055553A" w:rsidRPr="0055553A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OTPP</w:t>
            </w:r>
            <w:r w:rsidR="0055553A" w:rsidRPr="0055553A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负责代表安大略省约</w:t>
            </w:r>
            <w:r w:rsidR="0055553A" w:rsidRPr="0055553A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331,000</w:t>
            </w:r>
            <w:r w:rsidR="0055553A" w:rsidRPr="0055553A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名在任和退休教师管理退休金福利</w:t>
            </w:r>
            <w:r w:rsidR="00B4091D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和投资</w:t>
            </w:r>
            <w:r w:rsidR="0055553A" w:rsidRPr="0055553A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退休金计划资产。</w:t>
            </w:r>
          </w:p>
        </w:tc>
      </w:tr>
      <w:tr w:rsidR="004C78E0" w:rsidRPr="0063443E" w:rsidTr="00CB00DF">
        <w:trPr>
          <w:trHeight w:val="404"/>
        </w:trPr>
        <w:tc>
          <w:tcPr>
            <w:tcW w:w="1809" w:type="dxa"/>
            <w:vMerge/>
            <w:shd w:val="clear" w:color="auto" w:fill="D9D9D9"/>
            <w:vAlign w:val="center"/>
          </w:tcPr>
          <w:p w:rsidR="004C78E0" w:rsidRPr="0063443E" w:rsidRDefault="004C78E0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6" w:type="dxa"/>
          </w:tcPr>
          <w:p w:rsidR="004C78E0" w:rsidRPr="0063443E" w:rsidRDefault="004C78E0" w:rsidP="004C78E0">
            <w:pPr>
              <w:spacing w:line="500" w:lineRule="exact"/>
              <w:jc w:val="lef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CF7F71">
              <w:rPr>
                <w:rFonts w:ascii="Times New Roman" w:eastAsia="仿宋" w:hAnsi="Times New Roman"/>
                <w:kern w:val="0"/>
                <w:sz w:val="24"/>
                <w:szCs w:val="24"/>
              </w:rPr>
              <w:t>Anurag Chandra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先生</w:t>
            </w:r>
          </w:p>
        </w:tc>
        <w:tc>
          <w:tcPr>
            <w:tcW w:w="5153" w:type="dxa"/>
          </w:tcPr>
          <w:p w:rsidR="004C78E0" w:rsidRPr="0059385E" w:rsidRDefault="0066632B" w:rsidP="00B4091D">
            <w:pPr>
              <w:spacing w:line="500" w:lineRule="exact"/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CF7F71">
              <w:rPr>
                <w:rFonts w:ascii="Times New Roman" w:eastAsia="仿宋" w:hAnsi="Times New Roman"/>
                <w:kern w:val="0"/>
                <w:sz w:val="24"/>
                <w:szCs w:val="24"/>
              </w:rPr>
              <w:t>Anurag Chandra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先生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是自然人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。</w:t>
            </w:r>
            <w:r w:rsidRPr="00CF7F71">
              <w:rPr>
                <w:rFonts w:ascii="Times New Roman" w:eastAsia="仿宋" w:hAnsi="Times New Roman"/>
                <w:kern w:val="0"/>
                <w:sz w:val="24"/>
                <w:szCs w:val="24"/>
              </w:rPr>
              <w:t>Anurag Chandra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先生</w:t>
            </w:r>
            <w:r w:rsidRPr="00D425DF">
              <w:rPr>
                <w:rFonts w:ascii="Times New Roman" w:eastAsia="仿宋" w:hAnsi="Times New Roman" w:hint="eastAsia"/>
                <w:sz w:val="24"/>
                <w:szCs w:val="24"/>
              </w:rPr>
              <w:t>不以自己的名义从事任何其他经济活动</w:t>
            </w:r>
            <w:r w:rsidR="00926073"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CB00DF" w:rsidRPr="0063443E" w:rsidTr="00CB00DF">
        <w:trPr>
          <w:trHeight w:val="404"/>
        </w:trPr>
        <w:tc>
          <w:tcPr>
            <w:tcW w:w="1809" w:type="dxa"/>
            <w:vMerge/>
            <w:shd w:val="clear" w:color="auto" w:fill="D9D9D9"/>
            <w:vAlign w:val="center"/>
          </w:tcPr>
          <w:p w:rsidR="00CB00DF" w:rsidRPr="0063443E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6" w:type="dxa"/>
          </w:tcPr>
          <w:p w:rsidR="00CB00DF" w:rsidRPr="0063443E" w:rsidRDefault="004C78E0" w:rsidP="00986531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  <w:r w:rsidR="00F617D9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986531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C</w:t>
            </w:r>
            <w:r w:rsidR="00986531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MLIC</w:t>
            </w:r>
          </w:p>
        </w:tc>
        <w:tc>
          <w:tcPr>
            <w:tcW w:w="5153" w:type="dxa"/>
          </w:tcPr>
          <w:p w:rsidR="00CB00DF" w:rsidRPr="0063443E" w:rsidRDefault="00986531" w:rsidP="00986531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C</w:t>
            </w:r>
            <w:r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MLIC</w:t>
            </w:r>
            <w:r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于</w:t>
            </w:r>
            <w:r w:rsidRPr="00986531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1882</w:t>
            </w:r>
            <w:r w:rsidRPr="00986531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986531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986531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986531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11</w:t>
            </w:r>
            <w:r w:rsidRPr="00986531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日</w:t>
            </w: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在美国设立，</w:t>
            </w:r>
            <w:r w:rsidRPr="00986531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CMLIC</w:t>
            </w:r>
            <w:r w:rsidRPr="00986531"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及其子公司主要在美国提供人身保险。</w:t>
            </w:r>
          </w:p>
        </w:tc>
      </w:tr>
      <w:tr w:rsidR="00CB00DF" w:rsidRPr="0063443E" w:rsidTr="00CB00DF">
        <w:trPr>
          <w:trHeight w:val="279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:rsidR="00CB00DF" w:rsidRPr="0063443E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 w:rsidR="00CB00DF" w:rsidRPr="0063443E" w:rsidRDefault="00CB00DF" w:rsidP="006908A4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□1.</w:t>
            </w: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在同一相关市场，所有参与集中的经营者所占市场份额之和小于</w:t>
            </w: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15%</w:t>
            </w: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CB00DF" w:rsidRPr="0063443E" w:rsidTr="00CB00DF">
        <w:trPr>
          <w:trHeight w:val="330"/>
        </w:trPr>
        <w:tc>
          <w:tcPr>
            <w:tcW w:w="1809" w:type="dxa"/>
            <w:vMerge/>
            <w:shd w:val="clear" w:color="auto" w:fill="D9D9D9"/>
            <w:vAlign w:val="center"/>
          </w:tcPr>
          <w:p w:rsidR="00CB00DF" w:rsidRPr="0063443E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:rsidR="00CB00DF" w:rsidRPr="0063443E" w:rsidRDefault="00CB00DF" w:rsidP="006908A4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□2.</w:t>
            </w: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存在上下游关系的参与集中的经营者，在上下游市场所占的市场份额均小于</w:t>
            </w: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25%</w:t>
            </w: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CB00DF" w:rsidRPr="0063443E" w:rsidTr="00CB00DF">
        <w:trPr>
          <w:trHeight w:val="285"/>
        </w:trPr>
        <w:tc>
          <w:tcPr>
            <w:tcW w:w="1809" w:type="dxa"/>
            <w:vMerge/>
            <w:shd w:val="clear" w:color="auto" w:fill="D9D9D9"/>
            <w:vAlign w:val="center"/>
          </w:tcPr>
          <w:p w:rsidR="00CB00DF" w:rsidRPr="0063443E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:rsidR="00CB00DF" w:rsidRPr="0063443E" w:rsidRDefault="00CB00DF" w:rsidP="006908A4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□3.</w:t>
            </w: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不在同一相关市场、也不存在上下游关系的参与集中的经营者，在与交易有关的每个市场所占的份额均小于</w:t>
            </w: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25%</w:t>
            </w: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CB00DF" w:rsidRPr="0063443E" w:rsidTr="00CB00DF">
        <w:trPr>
          <w:trHeight w:val="870"/>
        </w:trPr>
        <w:tc>
          <w:tcPr>
            <w:tcW w:w="1809" w:type="dxa"/>
            <w:vMerge/>
            <w:shd w:val="clear" w:color="auto" w:fill="D9D9D9"/>
            <w:vAlign w:val="center"/>
          </w:tcPr>
          <w:p w:rsidR="00CB00DF" w:rsidRPr="0063443E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:rsidR="00CB00DF" w:rsidRPr="0063443E" w:rsidRDefault="00CB00DF" w:rsidP="006908A4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□4.</w:t>
            </w: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参与集中的经营者在中国境外设立合营企业，合营企业不在中国境内从事经济活动。</w:t>
            </w:r>
          </w:p>
        </w:tc>
      </w:tr>
      <w:tr w:rsidR="00CB00DF" w:rsidRPr="0063443E" w:rsidTr="00CB00DF">
        <w:trPr>
          <w:trHeight w:val="264"/>
        </w:trPr>
        <w:tc>
          <w:tcPr>
            <w:tcW w:w="1809" w:type="dxa"/>
            <w:vMerge/>
            <w:shd w:val="clear" w:color="auto" w:fill="D9D9D9"/>
            <w:vAlign w:val="center"/>
          </w:tcPr>
          <w:p w:rsidR="00CB00DF" w:rsidRPr="0063443E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:rsidR="00CB00DF" w:rsidRPr="0063443E" w:rsidRDefault="00927F3F" w:rsidP="006908A4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sym w:font="Wingdings" w:char="F0FE"/>
            </w:r>
            <w:r w:rsidR="00CB00DF"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5.</w:t>
            </w:r>
            <w:r w:rsidR="00CB00DF"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参与集中的经营者收购境外企业股权或资产的，该境外企业不在中国境内从事经济活动。</w:t>
            </w:r>
          </w:p>
        </w:tc>
      </w:tr>
      <w:tr w:rsidR="00CB00DF" w:rsidRPr="0063443E" w:rsidTr="00CB00DF">
        <w:trPr>
          <w:trHeight w:val="345"/>
        </w:trPr>
        <w:tc>
          <w:tcPr>
            <w:tcW w:w="1809" w:type="dxa"/>
            <w:vMerge/>
            <w:shd w:val="clear" w:color="auto" w:fill="D9D9D9"/>
            <w:vAlign w:val="center"/>
          </w:tcPr>
          <w:p w:rsidR="00CB00DF" w:rsidRPr="0063443E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:rsidR="00CB00DF" w:rsidRPr="0063443E" w:rsidRDefault="00CB00DF" w:rsidP="006908A4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□6.</w:t>
            </w: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由两个以上的经营者共同控制的合营企业，通过集中被其中一个或一个以上经营者控制。</w:t>
            </w:r>
          </w:p>
        </w:tc>
      </w:tr>
      <w:tr w:rsidR="00CB00DF" w:rsidRPr="0063443E" w:rsidTr="00CB00DF">
        <w:tc>
          <w:tcPr>
            <w:tcW w:w="1809" w:type="dxa"/>
            <w:shd w:val="clear" w:color="auto" w:fill="D9D9D9"/>
            <w:vAlign w:val="center"/>
          </w:tcPr>
          <w:p w:rsidR="00CB00DF" w:rsidRPr="0063443E" w:rsidRDefault="00CB00DF" w:rsidP="00CB00DF">
            <w:pPr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63443E"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  <w:tc>
          <w:tcPr>
            <w:tcW w:w="6949" w:type="dxa"/>
            <w:gridSpan w:val="2"/>
          </w:tcPr>
          <w:p w:rsidR="00CB00DF" w:rsidRPr="0063443E" w:rsidRDefault="00B66013" w:rsidP="006908A4">
            <w:pPr>
              <w:spacing w:line="500" w:lineRule="exact"/>
              <w:rPr>
                <w:rFonts w:ascii="Times New Roman" w:eastAsia="仿宋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仿宋" w:hAnsi="Times New Roman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不适用。</w:t>
            </w:r>
          </w:p>
        </w:tc>
      </w:tr>
    </w:tbl>
    <w:p w:rsidR="00CB00DF" w:rsidRPr="0063443E" w:rsidRDefault="00CB00DF" w:rsidP="00CB00DF">
      <w:pPr>
        <w:snapToGrid w:val="0"/>
        <w:spacing w:line="240" w:lineRule="exact"/>
        <w:jc w:val="left"/>
        <w:rPr>
          <w:rFonts w:ascii="Times New Roman" w:eastAsia="仿宋" w:hAnsi="Times New Roman"/>
          <w:sz w:val="24"/>
          <w:szCs w:val="24"/>
        </w:rPr>
      </w:pPr>
    </w:p>
    <w:p w:rsidR="000F5E24" w:rsidRPr="0063443E" w:rsidRDefault="001E07CC">
      <w:pPr>
        <w:rPr>
          <w:rFonts w:ascii="Times New Roman" w:eastAsia="仿宋" w:hAnsi="Times New Roman"/>
          <w:sz w:val="24"/>
          <w:szCs w:val="24"/>
        </w:rPr>
      </w:pPr>
    </w:p>
    <w:sectPr w:rsidR="000F5E24" w:rsidRPr="0063443E" w:rsidSect="00ED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7CC" w:rsidRDefault="001E07CC" w:rsidP="00E507CE">
      <w:r>
        <w:separator/>
      </w:r>
    </w:p>
  </w:endnote>
  <w:endnote w:type="continuationSeparator" w:id="0">
    <w:p w:rsidR="001E07CC" w:rsidRDefault="001E07CC" w:rsidP="00E5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7CC" w:rsidRDefault="001E07CC" w:rsidP="00E507CE">
      <w:r>
        <w:separator/>
      </w:r>
    </w:p>
  </w:footnote>
  <w:footnote w:type="continuationSeparator" w:id="0">
    <w:p w:rsidR="001E07CC" w:rsidRDefault="001E07CC" w:rsidP="00E50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DF"/>
    <w:rsid w:val="00014059"/>
    <w:rsid w:val="00037065"/>
    <w:rsid w:val="000D7EBA"/>
    <w:rsid w:val="001164CD"/>
    <w:rsid w:val="0012754E"/>
    <w:rsid w:val="00155717"/>
    <w:rsid w:val="00170694"/>
    <w:rsid w:val="001837A3"/>
    <w:rsid w:val="00184C34"/>
    <w:rsid w:val="001E07CC"/>
    <w:rsid w:val="002C53DE"/>
    <w:rsid w:val="003514CC"/>
    <w:rsid w:val="00375CD4"/>
    <w:rsid w:val="003B5B35"/>
    <w:rsid w:val="003C0AEB"/>
    <w:rsid w:val="003C2A36"/>
    <w:rsid w:val="004509FA"/>
    <w:rsid w:val="004C78E0"/>
    <w:rsid w:val="004F7688"/>
    <w:rsid w:val="00531037"/>
    <w:rsid w:val="0055553A"/>
    <w:rsid w:val="0059385E"/>
    <w:rsid w:val="0062081A"/>
    <w:rsid w:val="0063443E"/>
    <w:rsid w:val="006467D8"/>
    <w:rsid w:val="0066632B"/>
    <w:rsid w:val="006A531B"/>
    <w:rsid w:val="006C2575"/>
    <w:rsid w:val="006D5AC5"/>
    <w:rsid w:val="006F7693"/>
    <w:rsid w:val="00710140"/>
    <w:rsid w:val="007A300B"/>
    <w:rsid w:val="007E715F"/>
    <w:rsid w:val="007F2275"/>
    <w:rsid w:val="00915F0F"/>
    <w:rsid w:val="00926073"/>
    <w:rsid w:val="00927F3F"/>
    <w:rsid w:val="009532DF"/>
    <w:rsid w:val="009817B0"/>
    <w:rsid w:val="00986531"/>
    <w:rsid w:val="00997019"/>
    <w:rsid w:val="009A5029"/>
    <w:rsid w:val="009D31A4"/>
    <w:rsid w:val="009D38D5"/>
    <w:rsid w:val="00A53F26"/>
    <w:rsid w:val="00A810A1"/>
    <w:rsid w:val="00AA0CC5"/>
    <w:rsid w:val="00AB3EEA"/>
    <w:rsid w:val="00B16AFE"/>
    <w:rsid w:val="00B4091D"/>
    <w:rsid w:val="00B51EAE"/>
    <w:rsid w:val="00B65DD5"/>
    <w:rsid w:val="00B66013"/>
    <w:rsid w:val="00BD10B6"/>
    <w:rsid w:val="00C07076"/>
    <w:rsid w:val="00C1719A"/>
    <w:rsid w:val="00C2163E"/>
    <w:rsid w:val="00CB00DF"/>
    <w:rsid w:val="00CE2561"/>
    <w:rsid w:val="00CF7F71"/>
    <w:rsid w:val="00D12CF4"/>
    <w:rsid w:val="00D51984"/>
    <w:rsid w:val="00D73C72"/>
    <w:rsid w:val="00D961A0"/>
    <w:rsid w:val="00DE754C"/>
    <w:rsid w:val="00E0592B"/>
    <w:rsid w:val="00E31738"/>
    <w:rsid w:val="00E507CE"/>
    <w:rsid w:val="00E86786"/>
    <w:rsid w:val="00EB2990"/>
    <w:rsid w:val="00ED2C08"/>
    <w:rsid w:val="00ED2F80"/>
    <w:rsid w:val="00F1624E"/>
    <w:rsid w:val="00F32F8A"/>
    <w:rsid w:val="00F617D9"/>
    <w:rsid w:val="00F810AA"/>
    <w:rsid w:val="00F8650A"/>
    <w:rsid w:val="00F96444"/>
    <w:rsid w:val="00FB43EC"/>
    <w:rsid w:val="00FB6B40"/>
    <w:rsid w:val="00FE3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AD636E-2C70-4F54-9E34-AF4C3705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7C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7C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06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069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陈媚</dc:creator>
  <cp:lastModifiedBy>Fangda</cp:lastModifiedBy>
  <cp:revision>24</cp:revision>
  <cp:lastPrinted>2021-05-13T07:09:00Z</cp:lastPrinted>
  <dcterms:created xsi:type="dcterms:W3CDTF">2021-09-14T14:07:00Z</dcterms:created>
  <dcterms:modified xsi:type="dcterms:W3CDTF">2021-09-28T09:08:00Z</dcterms:modified>
</cp:coreProperties>
</file>