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E04F6" w14:textId="77777777" w:rsidR="002D4F81" w:rsidRPr="009A5A63" w:rsidRDefault="00701F5B">
      <w:pPr>
        <w:jc w:val="center"/>
        <w:rPr>
          <w:rFonts w:ascii="Arial" w:eastAsia="仿宋_GB2312" w:hAnsi="Arial" w:cs="Times New Roman"/>
          <w:b/>
          <w:sz w:val="24"/>
          <w:szCs w:val="24"/>
        </w:rPr>
      </w:pPr>
      <w:r w:rsidRPr="009A5A63">
        <w:rPr>
          <w:rFonts w:ascii="Arial" w:eastAsia="仿宋_GB2312" w:hAnsi="Arial" w:cs="Times New Roman" w:hint="eastAsia"/>
          <w:b/>
          <w:sz w:val="24"/>
          <w:szCs w:val="24"/>
        </w:rPr>
        <w:t>经营者集中简易案件公示表</w:t>
      </w:r>
    </w:p>
    <w:p w14:paraId="52F11A92" w14:textId="77777777" w:rsidR="002D4F81" w:rsidRPr="009A5A63" w:rsidRDefault="002D4F81">
      <w:pPr>
        <w:jc w:val="center"/>
        <w:rPr>
          <w:rFonts w:ascii="Arial" w:eastAsia="仿宋_GB2312" w:hAnsi="Arial" w:cs="Times New Roman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1782"/>
        <w:gridCol w:w="4719"/>
      </w:tblGrid>
      <w:tr w:rsidR="002D4F81" w:rsidRPr="009A5A63" w14:paraId="1B25EEA0" w14:textId="77777777" w:rsidTr="00284182">
        <w:trPr>
          <w:trHeight w:val="20"/>
          <w:tblHeader/>
        </w:trPr>
        <w:tc>
          <w:tcPr>
            <w:tcW w:w="1082" w:type="pct"/>
            <w:shd w:val="clear" w:color="auto" w:fill="D9D9D9"/>
          </w:tcPr>
          <w:p w14:paraId="06953EA4" w14:textId="77777777" w:rsidR="002D4F81" w:rsidRPr="009A5A63" w:rsidRDefault="00701F5B">
            <w:pPr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szCs w:val="21"/>
              </w:rPr>
              <w:t>案件名称</w:t>
            </w:r>
          </w:p>
        </w:tc>
        <w:tc>
          <w:tcPr>
            <w:tcW w:w="3918" w:type="pct"/>
            <w:gridSpan w:val="2"/>
          </w:tcPr>
          <w:p w14:paraId="1740C602" w14:textId="77777777" w:rsidR="004268A1" w:rsidRPr="009A5A63" w:rsidRDefault="00152FF3" w:rsidP="00F11DA1">
            <w:pPr>
              <w:jc w:val="left"/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szCs w:val="21"/>
              </w:rPr>
              <w:t>中信资本控股有限公司收购</w:t>
            </w:r>
            <w:r w:rsidRPr="009A5A63">
              <w:rPr>
                <w:rFonts w:ascii="Arial" w:eastAsia="仿宋_GB2312" w:hAnsi="Arial" w:cs="Times New Roman"/>
                <w:szCs w:val="21"/>
              </w:rPr>
              <w:t>China Pest Management Holding Company</w:t>
            </w:r>
            <w:r w:rsidRPr="009A5A63">
              <w:rPr>
                <w:rFonts w:ascii="Arial" w:eastAsia="仿宋_GB2312" w:hAnsi="Arial" w:cs="Times New Roman"/>
                <w:szCs w:val="21"/>
              </w:rPr>
              <w:t>股权案</w:t>
            </w:r>
          </w:p>
          <w:p w14:paraId="2690C6C3" w14:textId="17579D78" w:rsidR="00F11DA1" w:rsidRPr="009A5A63" w:rsidRDefault="00F11DA1" w:rsidP="00F11DA1">
            <w:pPr>
              <w:jc w:val="left"/>
              <w:rPr>
                <w:rFonts w:ascii="Arial" w:eastAsia="仿宋_GB2312" w:hAnsi="Arial" w:cs="Times New Roman"/>
                <w:szCs w:val="21"/>
              </w:rPr>
            </w:pPr>
          </w:p>
        </w:tc>
      </w:tr>
      <w:tr w:rsidR="002D4F81" w:rsidRPr="009A5A63" w14:paraId="2B05AE22" w14:textId="77777777" w:rsidTr="00284182">
        <w:trPr>
          <w:trHeight w:val="20"/>
          <w:tblHeader/>
        </w:trPr>
        <w:tc>
          <w:tcPr>
            <w:tcW w:w="1082" w:type="pct"/>
            <w:shd w:val="clear" w:color="auto" w:fill="D9D9D9"/>
          </w:tcPr>
          <w:p w14:paraId="1940240E" w14:textId="77777777" w:rsidR="002D4F81" w:rsidRPr="009A5A63" w:rsidRDefault="00701F5B">
            <w:pPr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szCs w:val="21"/>
              </w:rPr>
              <w:t>交易概况（限</w:t>
            </w:r>
            <w:r w:rsidRPr="009A5A63">
              <w:rPr>
                <w:rFonts w:ascii="Arial" w:eastAsia="仿宋_GB2312" w:hAnsi="Arial" w:cs="Times New Roman"/>
                <w:szCs w:val="21"/>
              </w:rPr>
              <w:t>200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字内）</w:t>
            </w:r>
          </w:p>
        </w:tc>
        <w:tc>
          <w:tcPr>
            <w:tcW w:w="3918" w:type="pct"/>
            <w:gridSpan w:val="2"/>
          </w:tcPr>
          <w:p w14:paraId="5362FB82" w14:textId="77777777" w:rsidR="004268A1" w:rsidRPr="009A5A63" w:rsidRDefault="001D2B8C" w:rsidP="00F11DA1">
            <w:pPr>
              <w:jc w:val="left"/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szCs w:val="21"/>
              </w:rPr>
              <w:t>中信资本控股有限公司</w:t>
            </w:r>
            <w:r w:rsidR="00701F5B" w:rsidRPr="009A5A63">
              <w:rPr>
                <w:rFonts w:ascii="Arial" w:eastAsia="仿宋_GB2312" w:hAnsi="Arial" w:cs="Times New Roman" w:hint="eastAsia"/>
                <w:szCs w:val="21"/>
              </w:rPr>
              <w:t>（以下简称</w:t>
            </w:r>
            <w:r w:rsidR="00F11DA1" w:rsidRPr="009A5A63">
              <w:rPr>
                <w:rFonts w:ascii="Arial" w:eastAsia="仿宋_GB2312" w:hAnsi="Arial" w:cs="Times New Roman" w:hint="eastAsia"/>
                <w:szCs w:val="21"/>
              </w:rPr>
              <w:t>“</w:t>
            </w:r>
            <w:r w:rsidR="00F11DA1" w:rsidRPr="009A5A63">
              <w:rPr>
                <w:rFonts w:ascii="Arial" w:eastAsia="仿宋_GB2312" w:hAnsi="Arial" w:cs="Times New Roman" w:hint="eastAsia"/>
                <w:b/>
                <w:szCs w:val="21"/>
              </w:rPr>
              <w:t>中信资本</w:t>
            </w:r>
            <w:r w:rsidR="00F11DA1" w:rsidRPr="009A5A63">
              <w:rPr>
                <w:rFonts w:ascii="Arial" w:eastAsia="仿宋_GB2312" w:hAnsi="Arial" w:cs="Times New Roman" w:hint="eastAsia"/>
                <w:szCs w:val="21"/>
              </w:rPr>
              <w:t>”</w:t>
            </w:r>
            <w:r w:rsidR="00701F5B" w:rsidRPr="009A5A63">
              <w:rPr>
                <w:rFonts w:ascii="Arial" w:eastAsia="仿宋_GB2312" w:hAnsi="Arial" w:cs="Times New Roman" w:hint="eastAsia"/>
                <w:szCs w:val="21"/>
              </w:rPr>
              <w:t>）</w:t>
            </w:r>
            <w:r w:rsidR="004268A1" w:rsidRPr="009A5A63">
              <w:rPr>
                <w:rFonts w:ascii="Arial" w:eastAsia="仿宋_GB2312" w:hAnsi="Arial" w:cs="Times New Roman" w:hint="eastAsia"/>
                <w:szCs w:val="21"/>
              </w:rPr>
              <w:t>拟通过其控制的一家特殊目的公司收购</w:t>
            </w:r>
            <w:r w:rsidRPr="009A5A63">
              <w:rPr>
                <w:rFonts w:ascii="Arial" w:eastAsia="仿宋_GB2312" w:hAnsi="Arial" w:cs="Times New Roman"/>
                <w:szCs w:val="21"/>
              </w:rPr>
              <w:t>China Pest Management Holding Company</w:t>
            </w:r>
            <w:r w:rsidR="000773D7" w:rsidRPr="009A5A63">
              <w:rPr>
                <w:rFonts w:ascii="Arial" w:eastAsia="仿宋_GB2312" w:hAnsi="Arial" w:cs="Times New Roman" w:hint="eastAsia"/>
                <w:szCs w:val="21"/>
              </w:rPr>
              <w:t>（以下</w:t>
            </w:r>
            <w:r w:rsidR="000773D7" w:rsidRPr="009A5A63">
              <w:rPr>
                <w:rFonts w:ascii="Arial" w:eastAsia="仿宋_GB2312" w:hAnsi="Arial" w:cs="Times New Roman"/>
                <w:szCs w:val="21"/>
              </w:rPr>
              <w:t>简称</w:t>
            </w:r>
            <w:r w:rsidR="00F11DA1" w:rsidRPr="009A5A63">
              <w:rPr>
                <w:rFonts w:ascii="Arial" w:eastAsia="仿宋_GB2312" w:hAnsi="Arial" w:cs="Times New Roman" w:hint="eastAsia"/>
                <w:szCs w:val="21"/>
              </w:rPr>
              <w:t>“</w:t>
            </w:r>
            <w:r w:rsidR="00F11DA1" w:rsidRPr="009A5A63">
              <w:rPr>
                <w:rFonts w:ascii="Arial" w:eastAsia="仿宋_GB2312" w:hAnsi="Arial" w:cs="Times New Roman" w:hint="eastAsia"/>
                <w:b/>
                <w:szCs w:val="21"/>
              </w:rPr>
              <w:t>目标公司</w:t>
            </w:r>
            <w:r w:rsidR="00F11DA1" w:rsidRPr="009A5A63">
              <w:rPr>
                <w:rFonts w:ascii="Arial" w:eastAsia="仿宋_GB2312" w:hAnsi="Arial" w:cs="Times New Roman" w:hint="eastAsia"/>
                <w:szCs w:val="21"/>
              </w:rPr>
              <w:t>”</w:t>
            </w:r>
            <w:r w:rsidR="000773D7" w:rsidRPr="009A5A63">
              <w:rPr>
                <w:rFonts w:ascii="Arial" w:eastAsia="仿宋_GB2312" w:hAnsi="Arial" w:cs="Times New Roman" w:hint="eastAsia"/>
                <w:szCs w:val="21"/>
              </w:rPr>
              <w:t>）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的</w:t>
            </w:r>
            <w:r w:rsidR="00F11DA1" w:rsidRPr="009A5A63">
              <w:rPr>
                <w:rFonts w:ascii="Arial" w:eastAsia="仿宋_GB2312" w:hAnsi="Arial" w:cs="Times New Roman" w:hint="eastAsia"/>
                <w:szCs w:val="21"/>
              </w:rPr>
              <w:t>特定数量的</w:t>
            </w:r>
            <w:r w:rsidR="004268A1" w:rsidRPr="009A5A63">
              <w:rPr>
                <w:rFonts w:ascii="Arial" w:eastAsia="仿宋_GB2312" w:hAnsi="Arial" w:cs="Times New Roman" w:hint="eastAsia"/>
                <w:szCs w:val="21"/>
              </w:rPr>
              <w:t>股份（以下简称</w:t>
            </w:r>
            <w:r w:rsidR="00284182" w:rsidRPr="009A5A63">
              <w:rPr>
                <w:rFonts w:ascii="Arial" w:eastAsia="仿宋_GB2312" w:hAnsi="Arial" w:cs="Times New Roman" w:hint="eastAsia"/>
                <w:szCs w:val="21"/>
              </w:rPr>
              <w:t>“</w:t>
            </w:r>
            <w:r w:rsidR="00284182" w:rsidRPr="009A5A63">
              <w:rPr>
                <w:rFonts w:ascii="Arial" w:eastAsia="仿宋_GB2312" w:hAnsi="Arial" w:cs="Times New Roman" w:hint="eastAsia"/>
                <w:b/>
                <w:szCs w:val="21"/>
              </w:rPr>
              <w:t>本次交易</w:t>
            </w:r>
            <w:r w:rsidR="00284182" w:rsidRPr="009A5A63">
              <w:rPr>
                <w:rFonts w:ascii="Arial" w:eastAsia="仿宋_GB2312" w:hAnsi="Arial" w:cs="Times New Roman" w:hint="eastAsia"/>
                <w:szCs w:val="21"/>
              </w:rPr>
              <w:t>”</w:t>
            </w:r>
            <w:r w:rsidR="004268A1" w:rsidRPr="009A5A63">
              <w:rPr>
                <w:rFonts w:ascii="Arial" w:eastAsia="仿宋_GB2312" w:hAnsi="Arial" w:cs="Times New Roman" w:hint="eastAsia"/>
                <w:szCs w:val="21"/>
              </w:rPr>
              <w:t>）。</w:t>
            </w:r>
            <w:r w:rsidR="00701F5B" w:rsidRPr="009A5A63">
              <w:rPr>
                <w:rFonts w:ascii="Arial" w:eastAsia="仿宋_GB2312" w:hAnsi="Arial" w:cs="Times New Roman" w:hint="eastAsia"/>
                <w:szCs w:val="21"/>
              </w:rPr>
              <w:t>本次交易完成后，目标公司将由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中信资本和</w:t>
            </w:r>
            <w:r w:rsidR="00F11DA1" w:rsidRPr="009A5A63">
              <w:rPr>
                <w:rFonts w:ascii="Arial" w:eastAsia="仿宋_GB2312" w:hAnsi="Arial" w:cs="Times New Roman" w:hint="eastAsia"/>
                <w:szCs w:val="21"/>
              </w:rPr>
              <w:t>目标公司现有股东</w:t>
            </w:r>
            <w:r w:rsidR="00F11DA1" w:rsidRPr="009A5A63">
              <w:rPr>
                <w:rFonts w:ascii="Arial" w:eastAsia="仿宋_GB2312" w:hAnsi="Arial" w:cs="Times New Roman"/>
                <w:szCs w:val="21"/>
              </w:rPr>
              <w:t>SVM International Services Limited</w:t>
            </w:r>
            <w:r w:rsidR="00F11DA1" w:rsidRPr="009A5A63">
              <w:rPr>
                <w:rFonts w:ascii="Arial" w:eastAsia="仿宋_GB2312" w:hAnsi="Arial" w:cs="Times New Roman" w:hint="eastAsia"/>
                <w:szCs w:val="21"/>
              </w:rPr>
              <w:t>（以下</w:t>
            </w:r>
            <w:r w:rsidR="00F11DA1" w:rsidRPr="009A5A63">
              <w:rPr>
                <w:rFonts w:ascii="Arial" w:eastAsia="仿宋_GB2312" w:hAnsi="Arial" w:cs="Times New Roman"/>
                <w:szCs w:val="21"/>
              </w:rPr>
              <w:t>简称</w:t>
            </w:r>
            <w:r w:rsidR="00F11DA1" w:rsidRPr="009A5A63">
              <w:rPr>
                <w:rFonts w:ascii="Arial" w:eastAsia="仿宋_GB2312" w:hAnsi="Arial" w:cs="Times New Roman" w:hint="eastAsia"/>
                <w:szCs w:val="21"/>
              </w:rPr>
              <w:t>“</w:t>
            </w:r>
            <w:r w:rsidR="00F11DA1" w:rsidRPr="009A5A63">
              <w:rPr>
                <w:rFonts w:ascii="Arial" w:eastAsia="仿宋_GB2312" w:hAnsi="Arial" w:cs="Times New Roman"/>
                <w:b/>
                <w:szCs w:val="21"/>
              </w:rPr>
              <w:t>TMX UK</w:t>
            </w:r>
            <w:r w:rsidR="00F11DA1" w:rsidRPr="009A5A63">
              <w:rPr>
                <w:rFonts w:ascii="Arial" w:eastAsia="仿宋_GB2312" w:hAnsi="Arial" w:cs="Times New Roman" w:hint="eastAsia"/>
                <w:szCs w:val="21"/>
              </w:rPr>
              <w:t>”）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共同</w:t>
            </w:r>
            <w:r w:rsidR="00701F5B" w:rsidRPr="009A5A63">
              <w:rPr>
                <w:rFonts w:ascii="Arial" w:eastAsia="仿宋_GB2312" w:hAnsi="Arial" w:cs="Times New Roman" w:hint="eastAsia"/>
                <w:szCs w:val="21"/>
              </w:rPr>
              <w:t>控制。</w:t>
            </w:r>
          </w:p>
          <w:p w14:paraId="4CB3DBD7" w14:textId="459A8166" w:rsidR="00F11DA1" w:rsidRPr="009A5A63" w:rsidRDefault="00F11DA1" w:rsidP="00F11DA1">
            <w:pPr>
              <w:jc w:val="left"/>
              <w:rPr>
                <w:rFonts w:ascii="Arial" w:eastAsia="仿宋_GB2312" w:hAnsi="Arial" w:cs="Times New Roman"/>
                <w:szCs w:val="21"/>
              </w:rPr>
            </w:pPr>
          </w:p>
        </w:tc>
      </w:tr>
      <w:tr w:rsidR="002D4F81" w:rsidRPr="009A5A63" w14:paraId="59822336" w14:textId="77777777" w:rsidTr="00284182">
        <w:trPr>
          <w:trHeight w:val="20"/>
          <w:tblHeader/>
        </w:trPr>
        <w:tc>
          <w:tcPr>
            <w:tcW w:w="1082" w:type="pct"/>
            <w:vMerge w:val="restart"/>
            <w:shd w:val="clear" w:color="auto" w:fill="D9D9D9"/>
          </w:tcPr>
          <w:p w14:paraId="13F61ED4" w14:textId="77777777" w:rsidR="002D4F81" w:rsidRPr="009A5A63" w:rsidRDefault="00701F5B">
            <w:pPr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szCs w:val="21"/>
              </w:rPr>
              <w:t>参与集中的经营者简介</w:t>
            </w:r>
          </w:p>
        </w:tc>
        <w:tc>
          <w:tcPr>
            <w:tcW w:w="1074" w:type="pct"/>
          </w:tcPr>
          <w:p w14:paraId="640961A3" w14:textId="47E1C5E4" w:rsidR="002D4F81" w:rsidRPr="009A5A63" w:rsidRDefault="00152FF3">
            <w:pPr>
              <w:pStyle w:val="a9"/>
              <w:numPr>
                <w:ilvl w:val="0"/>
                <w:numId w:val="2"/>
              </w:numPr>
              <w:ind w:firstLineChars="0"/>
              <w:jc w:val="left"/>
              <w:rPr>
                <w:rFonts w:ascii="Arial" w:eastAsia="仿宋_GB2312" w:hAnsi="Arial" w:cs="Times New Roman"/>
                <w:b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b/>
                <w:szCs w:val="21"/>
              </w:rPr>
              <w:t>中信资本</w:t>
            </w:r>
          </w:p>
        </w:tc>
        <w:tc>
          <w:tcPr>
            <w:tcW w:w="2844" w:type="pct"/>
          </w:tcPr>
          <w:p w14:paraId="2E214CAC" w14:textId="77777777" w:rsidR="00284182" w:rsidRPr="009A5A63" w:rsidRDefault="00152FF3" w:rsidP="00F11DA1">
            <w:pPr>
              <w:rPr>
                <w:rFonts w:ascii="Arial" w:eastAsia="仿宋_GB2312" w:hAnsi="Arial" w:cs="Arial"/>
                <w:szCs w:val="21"/>
              </w:rPr>
            </w:pPr>
            <w:r w:rsidRPr="009A5A63">
              <w:rPr>
                <w:rFonts w:ascii="Arial" w:eastAsia="仿宋_GB2312" w:hAnsi="Arial" w:cs="Arial" w:hint="eastAsia"/>
                <w:szCs w:val="21"/>
              </w:rPr>
              <w:t>中信资本是一家</w:t>
            </w:r>
            <w:r w:rsidRPr="009A5A63">
              <w:rPr>
                <w:rFonts w:ascii="Arial" w:eastAsia="仿宋_GB2312" w:hAnsi="Arial" w:cs="Arial"/>
                <w:szCs w:val="21"/>
              </w:rPr>
              <w:t>主攻另类投资的投资管理及顾问公司</w:t>
            </w:r>
            <w:r w:rsidRPr="009A5A63">
              <w:rPr>
                <w:rFonts w:ascii="Arial" w:eastAsia="仿宋_GB2312" w:hAnsi="Arial" w:cs="Arial" w:hint="eastAsia"/>
                <w:szCs w:val="21"/>
              </w:rPr>
              <w:t>，</w:t>
            </w:r>
            <w:r w:rsidR="00542AD3" w:rsidRPr="009A5A63">
              <w:rPr>
                <w:rFonts w:ascii="Arial" w:eastAsia="仿宋_GB2312" w:hAnsi="Arial" w:cs="Arial" w:hint="eastAsia"/>
                <w:szCs w:val="21"/>
              </w:rPr>
              <w:t>主要业务包</w:t>
            </w:r>
            <w:bookmarkStart w:id="0" w:name="_GoBack"/>
            <w:bookmarkEnd w:id="0"/>
            <w:r w:rsidR="00542AD3" w:rsidRPr="009A5A63">
              <w:rPr>
                <w:rFonts w:ascii="Arial" w:eastAsia="仿宋_GB2312" w:hAnsi="Arial" w:cs="Arial" w:hint="eastAsia"/>
                <w:szCs w:val="21"/>
              </w:rPr>
              <w:t>括私募股权投资、不动产投资、结构融资及资产管理，为多样化的国际机构投资者管理资产。</w:t>
            </w:r>
          </w:p>
          <w:p w14:paraId="56F39403" w14:textId="2AF90428" w:rsidR="00F11DA1" w:rsidRPr="009A5A63" w:rsidRDefault="00F11DA1" w:rsidP="00F11DA1">
            <w:pPr>
              <w:rPr>
                <w:rFonts w:ascii="Arial" w:eastAsia="仿宋_GB2312" w:hAnsi="Arial" w:cs="Arial"/>
                <w:szCs w:val="21"/>
              </w:rPr>
            </w:pPr>
          </w:p>
        </w:tc>
      </w:tr>
      <w:tr w:rsidR="002D4F81" w:rsidRPr="009A5A63" w14:paraId="3E6408E9" w14:textId="77777777" w:rsidTr="00284182">
        <w:trPr>
          <w:trHeight w:val="20"/>
          <w:tblHeader/>
        </w:trPr>
        <w:tc>
          <w:tcPr>
            <w:tcW w:w="1082" w:type="pct"/>
            <w:vMerge/>
            <w:shd w:val="clear" w:color="auto" w:fill="D9D9D9"/>
          </w:tcPr>
          <w:p w14:paraId="708DAC93" w14:textId="77777777" w:rsidR="002D4F81" w:rsidRPr="009A5A63" w:rsidRDefault="002D4F81">
            <w:pPr>
              <w:rPr>
                <w:rFonts w:ascii="Arial" w:eastAsia="仿宋_GB2312" w:hAnsi="Arial" w:cs="Times New Roman"/>
                <w:szCs w:val="21"/>
              </w:rPr>
            </w:pPr>
          </w:p>
        </w:tc>
        <w:tc>
          <w:tcPr>
            <w:tcW w:w="1074" w:type="pct"/>
          </w:tcPr>
          <w:p w14:paraId="06227B11" w14:textId="3AC19D61" w:rsidR="002D4F81" w:rsidRPr="009A5A63" w:rsidRDefault="00152FF3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Arial" w:eastAsia="仿宋_GB2312" w:hAnsi="Arial" w:cs="Times New Roman"/>
                <w:b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b/>
                <w:szCs w:val="21"/>
              </w:rPr>
              <w:t>TMX UK</w:t>
            </w:r>
          </w:p>
        </w:tc>
        <w:tc>
          <w:tcPr>
            <w:tcW w:w="2844" w:type="pct"/>
          </w:tcPr>
          <w:p w14:paraId="32564E07" w14:textId="77777777" w:rsidR="004268A1" w:rsidRPr="009A5A63" w:rsidRDefault="00F11DA1" w:rsidP="006F15B7">
            <w:pPr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/>
                <w:szCs w:val="21"/>
              </w:rPr>
              <w:t>TMX UK</w:t>
            </w:r>
            <w:r w:rsidRPr="009A5A63">
              <w:rPr>
                <w:rFonts w:ascii="Arial" w:eastAsia="仿宋_GB2312" w:hAnsi="Arial" w:cs="Times New Roman"/>
                <w:szCs w:val="21"/>
              </w:rPr>
              <w:t>系一家投资控股主体，隶属于</w:t>
            </w:r>
            <w:r w:rsidRPr="009A5A63">
              <w:rPr>
                <w:rFonts w:ascii="Arial" w:eastAsia="仿宋_GB2312" w:hAnsi="Arial" w:cs="Times New Roman"/>
                <w:szCs w:val="21"/>
              </w:rPr>
              <w:t>Terminix Global Holdings, Inc.</w:t>
            </w:r>
            <w:r w:rsidRPr="009A5A63">
              <w:rPr>
                <w:rFonts w:ascii="Arial" w:eastAsia="仿宋_GB2312" w:hAnsi="Arial" w:cs="Times New Roman"/>
                <w:szCs w:val="21"/>
              </w:rPr>
              <w:t>（以下简称</w:t>
            </w:r>
            <w:r w:rsidRPr="009A5A63">
              <w:rPr>
                <w:rFonts w:ascii="Arial" w:eastAsia="仿宋_GB2312" w:hAnsi="Arial" w:cs="Times New Roman"/>
                <w:szCs w:val="21"/>
              </w:rPr>
              <w:t>“</w:t>
            </w:r>
            <w:r w:rsidRPr="009A5A63">
              <w:rPr>
                <w:rFonts w:ascii="Arial" w:eastAsia="仿宋_GB2312" w:hAnsi="Arial" w:cs="Times New Roman"/>
                <w:b/>
                <w:szCs w:val="21"/>
              </w:rPr>
              <w:t>TMX Global</w:t>
            </w:r>
            <w:r w:rsidRPr="009A5A63">
              <w:rPr>
                <w:rFonts w:ascii="Arial" w:eastAsia="仿宋_GB2312" w:hAnsi="Arial" w:cs="Times New Roman"/>
                <w:szCs w:val="21"/>
              </w:rPr>
              <w:t>”</w:t>
            </w:r>
            <w:r w:rsidRPr="009A5A63">
              <w:rPr>
                <w:rFonts w:ascii="Arial" w:eastAsia="仿宋_GB2312" w:hAnsi="Arial" w:cs="Times New Roman"/>
                <w:szCs w:val="21"/>
              </w:rPr>
              <w:t>），</w:t>
            </w:r>
            <w:r w:rsidRPr="009A5A63">
              <w:rPr>
                <w:rFonts w:ascii="Arial" w:eastAsia="仿宋_GB2312" w:hAnsi="Arial" w:cs="Times New Roman"/>
                <w:szCs w:val="21"/>
              </w:rPr>
              <w:t>TMX Global</w:t>
            </w:r>
            <w:r w:rsidRPr="009A5A63">
              <w:rPr>
                <w:rFonts w:ascii="Arial" w:eastAsia="仿宋_GB2312" w:hAnsi="Arial" w:cs="Times New Roman"/>
                <w:szCs w:val="21"/>
              </w:rPr>
              <w:t>及其关联实体是住宅和商业害虫控制的领先服务提供商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。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T</w:t>
            </w:r>
            <w:r w:rsidRPr="009A5A63">
              <w:rPr>
                <w:rFonts w:ascii="Arial" w:eastAsia="仿宋_GB2312" w:hAnsi="Arial" w:cs="Times New Roman"/>
                <w:szCs w:val="21"/>
              </w:rPr>
              <w:t>MX UK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亦在中国从事有害生物防制服务。</w:t>
            </w:r>
          </w:p>
          <w:p w14:paraId="73D7F1CC" w14:textId="4E8729AA" w:rsidR="00F11DA1" w:rsidRPr="009A5A63" w:rsidRDefault="00F11DA1" w:rsidP="006F15B7">
            <w:pPr>
              <w:rPr>
                <w:rFonts w:ascii="Arial" w:eastAsia="仿宋_GB2312" w:hAnsi="Arial" w:cs="Times New Roman"/>
                <w:szCs w:val="21"/>
              </w:rPr>
            </w:pPr>
          </w:p>
        </w:tc>
      </w:tr>
      <w:tr w:rsidR="002D4F81" w:rsidRPr="009A5A63" w14:paraId="7B66AB88" w14:textId="77777777" w:rsidTr="00284182">
        <w:trPr>
          <w:trHeight w:val="20"/>
          <w:tblHeader/>
        </w:trPr>
        <w:tc>
          <w:tcPr>
            <w:tcW w:w="1082" w:type="pct"/>
            <w:vMerge w:val="restart"/>
            <w:shd w:val="clear" w:color="auto" w:fill="D9D9D9"/>
          </w:tcPr>
          <w:p w14:paraId="1EB69868" w14:textId="77777777" w:rsidR="002D4F81" w:rsidRPr="009A5A63" w:rsidRDefault="00701F5B">
            <w:pPr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szCs w:val="21"/>
              </w:rPr>
              <w:t>简易案件理由（可以单选，也可以多选）</w:t>
            </w:r>
          </w:p>
        </w:tc>
        <w:tc>
          <w:tcPr>
            <w:tcW w:w="3918" w:type="pct"/>
            <w:gridSpan w:val="2"/>
          </w:tcPr>
          <w:p w14:paraId="5E018560" w14:textId="71AEE49A" w:rsidR="004268A1" w:rsidRPr="009A5A63" w:rsidRDefault="00701F5B">
            <w:pPr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szCs w:val="21"/>
              </w:rPr>
              <w:t>□</w:t>
            </w:r>
            <w:r w:rsidRPr="009A5A63">
              <w:rPr>
                <w:rFonts w:ascii="Arial" w:eastAsia="仿宋_GB2312" w:hAnsi="Arial" w:cs="Times New Roman"/>
                <w:szCs w:val="21"/>
              </w:rPr>
              <w:t>1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、在同一相关市场，所有参与集中的经营者所占市场份额之和小于</w:t>
            </w:r>
            <w:r w:rsidRPr="009A5A63">
              <w:rPr>
                <w:rFonts w:ascii="Arial" w:eastAsia="仿宋_GB2312" w:hAnsi="Arial" w:cs="Times New Roman"/>
                <w:szCs w:val="21"/>
              </w:rPr>
              <w:t>15%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。</w:t>
            </w:r>
          </w:p>
        </w:tc>
      </w:tr>
      <w:tr w:rsidR="002D4F81" w:rsidRPr="009A5A63" w14:paraId="605EA8E0" w14:textId="77777777" w:rsidTr="00284182">
        <w:trPr>
          <w:trHeight w:val="20"/>
          <w:tblHeader/>
        </w:trPr>
        <w:tc>
          <w:tcPr>
            <w:tcW w:w="1082" w:type="pct"/>
            <w:vMerge/>
            <w:shd w:val="clear" w:color="auto" w:fill="D9D9D9"/>
          </w:tcPr>
          <w:p w14:paraId="2CCF83AF" w14:textId="77777777" w:rsidR="002D4F81" w:rsidRPr="009A5A63" w:rsidRDefault="002D4F81">
            <w:pPr>
              <w:rPr>
                <w:rFonts w:ascii="Arial" w:eastAsia="仿宋_GB2312" w:hAnsi="Arial" w:cs="Times New Roman"/>
                <w:szCs w:val="21"/>
              </w:rPr>
            </w:pPr>
          </w:p>
        </w:tc>
        <w:tc>
          <w:tcPr>
            <w:tcW w:w="3918" w:type="pct"/>
            <w:gridSpan w:val="2"/>
          </w:tcPr>
          <w:p w14:paraId="2FFB8D0B" w14:textId="4DDC3636" w:rsidR="004268A1" w:rsidRPr="009A5A63" w:rsidRDefault="00701F5B">
            <w:pPr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szCs w:val="21"/>
              </w:rPr>
              <w:t>□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2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、存在上下游关系的参与集中的经营者，在上下游市场所占的市场份额均小于</w:t>
            </w:r>
            <w:r w:rsidRPr="009A5A63">
              <w:rPr>
                <w:rFonts w:ascii="Arial" w:eastAsia="仿宋_GB2312" w:hAnsi="Arial" w:cs="Times New Roman"/>
                <w:szCs w:val="21"/>
              </w:rPr>
              <w:t>25%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。</w:t>
            </w:r>
          </w:p>
        </w:tc>
      </w:tr>
      <w:tr w:rsidR="002D4F81" w:rsidRPr="009A5A63" w14:paraId="5A514C97" w14:textId="77777777" w:rsidTr="00284182">
        <w:trPr>
          <w:trHeight w:val="20"/>
          <w:tblHeader/>
        </w:trPr>
        <w:tc>
          <w:tcPr>
            <w:tcW w:w="1082" w:type="pct"/>
            <w:vMerge/>
            <w:shd w:val="clear" w:color="auto" w:fill="D9D9D9"/>
          </w:tcPr>
          <w:p w14:paraId="2A8176F6" w14:textId="77777777" w:rsidR="002D4F81" w:rsidRPr="009A5A63" w:rsidRDefault="002D4F81">
            <w:pPr>
              <w:rPr>
                <w:rFonts w:ascii="Arial" w:eastAsia="仿宋_GB2312" w:hAnsi="Arial" w:cs="Times New Roman"/>
                <w:szCs w:val="21"/>
              </w:rPr>
            </w:pPr>
          </w:p>
        </w:tc>
        <w:tc>
          <w:tcPr>
            <w:tcW w:w="3918" w:type="pct"/>
            <w:gridSpan w:val="2"/>
          </w:tcPr>
          <w:p w14:paraId="43BD9030" w14:textId="0CB77384" w:rsidR="004268A1" w:rsidRPr="009A5A63" w:rsidRDefault="00701F5B">
            <w:pPr>
              <w:rPr>
                <w:rFonts w:ascii="Arial" w:eastAsia="仿宋_GB2312" w:hAnsi="Arial" w:cs="Times New Roman"/>
                <w:b/>
                <w:szCs w:val="21"/>
              </w:rPr>
            </w:pPr>
            <w:r w:rsidRPr="009A5A63">
              <w:rPr>
                <w:rFonts w:ascii="Arial" w:eastAsia="仿宋_GB2312" w:hAnsi="Arial" w:cs="Times New Roman"/>
                <w:szCs w:val="21"/>
              </w:rPr>
              <w:sym w:font="Wingdings" w:char="F0FE"/>
            </w:r>
            <w:r w:rsidRPr="009A5A63">
              <w:rPr>
                <w:rFonts w:ascii="Arial" w:eastAsia="仿宋_GB2312" w:hAnsi="Arial" w:cs="Times New Roman"/>
                <w:szCs w:val="21"/>
              </w:rPr>
              <w:t>3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、</w:t>
            </w:r>
            <w:r w:rsidRPr="009A5A63">
              <w:rPr>
                <w:rFonts w:ascii="Arial" w:eastAsia="仿宋_GB2312" w:hAnsi="Arial" w:cs="Times New Roman" w:hint="eastAsia"/>
                <w:b/>
                <w:szCs w:val="21"/>
              </w:rPr>
              <w:t>不在同一相关市场、也不存在上下游关系的参与集中的经营者，在与交易有关的每个市场所占的份额均小于</w:t>
            </w:r>
            <w:r w:rsidRPr="009A5A63">
              <w:rPr>
                <w:rFonts w:ascii="Arial" w:eastAsia="仿宋_GB2312" w:hAnsi="Arial" w:cs="Times New Roman"/>
                <w:b/>
                <w:szCs w:val="21"/>
              </w:rPr>
              <w:t>25%</w:t>
            </w:r>
            <w:r w:rsidRPr="009A5A63">
              <w:rPr>
                <w:rFonts w:ascii="Arial" w:eastAsia="仿宋_GB2312" w:hAnsi="Arial" w:cs="Times New Roman" w:hint="eastAsia"/>
                <w:b/>
                <w:szCs w:val="21"/>
              </w:rPr>
              <w:t>。</w:t>
            </w:r>
          </w:p>
        </w:tc>
      </w:tr>
      <w:tr w:rsidR="002D4F81" w:rsidRPr="009A5A63" w14:paraId="322B1452" w14:textId="77777777" w:rsidTr="00284182">
        <w:trPr>
          <w:trHeight w:val="20"/>
          <w:tblHeader/>
        </w:trPr>
        <w:tc>
          <w:tcPr>
            <w:tcW w:w="1082" w:type="pct"/>
            <w:vMerge/>
            <w:shd w:val="clear" w:color="auto" w:fill="D9D9D9"/>
          </w:tcPr>
          <w:p w14:paraId="7BF41DCF" w14:textId="77777777" w:rsidR="002D4F81" w:rsidRPr="009A5A63" w:rsidRDefault="002D4F81">
            <w:pPr>
              <w:rPr>
                <w:rFonts w:ascii="Arial" w:eastAsia="仿宋_GB2312" w:hAnsi="Arial" w:cs="Times New Roman"/>
                <w:szCs w:val="21"/>
              </w:rPr>
            </w:pPr>
          </w:p>
        </w:tc>
        <w:tc>
          <w:tcPr>
            <w:tcW w:w="3918" w:type="pct"/>
            <w:gridSpan w:val="2"/>
          </w:tcPr>
          <w:p w14:paraId="5F28900C" w14:textId="028F16F4" w:rsidR="004268A1" w:rsidRPr="009A5A63" w:rsidRDefault="00701F5B">
            <w:pPr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szCs w:val="21"/>
              </w:rPr>
              <w:t>□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4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、参与集中的经营者在中国境外设立合营企业，合营企业不在中国境内从事经济活动。</w:t>
            </w:r>
          </w:p>
        </w:tc>
      </w:tr>
      <w:tr w:rsidR="002D4F81" w:rsidRPr="009A5A63" w14:paraId="5F3AD41B" w14:textId="77777777" w:rsidTr="00284182">
        <w:trPr>
          <w:trHeight w:val="20"/>
          <w:tblHeader/>
        </w:trPr>
        <w:tc>
          <w:tcPr>
            <w:tcW w:w="1082" w:type="pct"/>
            <w:vMerge/>
            <w:shd w:val="clear" w:color="auto" w:fill="D9D9D9"/>
          </w:tcPr>
          <w:p w14:paraId="39B76036" w14:textId="77777777" w:rsidR="002D4F81" w:rsidRPr="009A5A63" w:rsidRDefault="002D4F81">
            <w:pPr>
              <w:rPr>
                <w:rFonts w:ascii="Arial" w:eastAsia="仿宋_GB2312" w:hAnsi="Arial" w:cs="Times New Roman"/>
                <w:szCs w:val="21"/>
              </w:rPr>
            </w:pPr>
          </w:p>
        </w:tc>
        <w:tc>
          <w:tcPr>
            <w:tcW w:w="3918" w:type="pct"/>
            <w:gridSpan w:val="2"/>
          </w:tcPr>
          <w:p w14:paraId="4AF2C9F7" w14:textId="5C68C1C7" w:rsidR="004268A1" w:rsidRPr="009A5A63" w:rsidRDefault="00701F5B">
            <w:pPr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szCs w:val="21"/>
              </w:rPr>
              <w:t>□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5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、参与集中的经营者收购境外企业股权或资产的，该境外企业不在中国境内从事经济活动。</w:t>
            </w:r>
          </w:p>
        </w:tc>
      </w:tr>
      <w:tr w:rsidR="002D4F81" w:rsidRPr="009A5A63" w14:paraId="4D234151" w14:textId="77777777" w:rsidTr="00284182">
        <w:trPr>
          <w:trHeight w:val="20"/>
          <w:tblHeader/>
        </w:trPr>
        <w:tc>
          <w:tcPr>
            <w:tcW w:w="1082" w:type="pct"/>
            <w:vMerge/>
            <w:shd w:val="clear" w:color="auto" w:fill="D9D9D9"/>
          </w:tcPr>
          <w:p w14:paraId="6EE805AB" w14:textId="77777777" w:rsidR="002D4F81" w:rsidRPr="009A5A63" w:rsidRDefault="002D4F81">
            <w:pPr>
              <w:rPr>
                <w:rFonts w:ascii="Arial" w:eastAsia="仿宋_GB2312" w:hAnsi="Arial" w:cs="Times New Roman"/>
                <w:szCs w:val="21"/>
              </w:rPr>
            </w:pPr>
          </w:p>
        </w:tc>
        <w:tc>
          <w:tcPr>
            <w:tcW w:w="3918" w:type="pct"/>
            <w:gridSpan w:val="2"/>
          </w:tcPr>
          <w:p w14:paraId="562E669C" w14:textId="3477BC46" w:rsidR="004268A1" w:rsidRPr="009A5A63" w:rsidRDefault="00701F5B">
            <w:pPr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szCs w:val="21"/>
              </w:rPr>
              <w:t>□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6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、由两个以上的经营者共同控制的合营企业，通过集中被其中一个或一个以上经营者控制。</w:t>
            </w:r>
          </w:p>
        </w:tc>
      </w:tr>
      <w:tr w:rsidR="002D4F81" w:rsidRPr="009A5A63" w14:paraId="3222DAE4" w14:textId="77777777" w:rsidTr="00284182">
        <w:trPr>
          <w:trHeight w:val="20"/>
          <w:tblHeader/>
        </w:trPr>
        <w:tc>
          <w:tcPr>
            <w:tcW w:w="1082" w:type="pct"/>
            <w:shd w:val="clear" w:color="auto" w:fill="D9D9D9"/>
          </w:tcPr>
          <w:p w14:paraId="5C8DA7AD" w14:textId="77777777" w:rsidR="002D4F81" w:rsidRPr="009A5A63" w:rsidRDefault="00701F5B">
            <w:pPr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szCs w:val="21"/>
              </w:rPr>
              <w:t>备注</w:t>
            </w:r>
          </w:p>
        </w:tc>
        <w:tc>
          <w:tcPr>
            <w:tcW w:w="3918" w:type="pct"/>
            <w:gridSpan w:val="2"/>
          </w:tcPr>
          <w:p w14:paraId="13DEEAB2" w14:textId="48DA5A6D" w:rsidR="002D4F81" w:rsidRPr="009A5A63" w:rsidRDefault="00701F5B" w:rsidP="004268A1">
            <w:pPr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b/>
                <w:szCs w:val="21"/>
              </w:rPr>
              <w:t>相关市场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：</w:t>
            </w:r>
            <w:r w:rsidR="00802606" w:rsidRPr="009A5A63">
              <w:rPr>
                <w:rFonts w:ascii="Arial" w:eastAsia="仿宋_GB2312" w:hAnsi="Arial" w:cs="Times New Roman" w:hint="eastAsia"/>
                <w:szCs w:val="21"/>
              </w:rPr>
              <w:t>中国有害生物防制服务市场</w:t>
            </w:r>
          </w:p>
          <w:p w14:paraId="6D213EBB" w14:textId="6D68BB02" w:rsidR="004268A1" w:rsidRPr="009A5A63" w:rsidRDefault="00701F5B" w:rsidP="00BA4C89">
            <w:pPr>
              <w:rPr>
                <w:rFonts w:ascii="Arial" w:eastAsia="仿宋_GB2312" w:hAnsi="Arial" w:cs="Times New Roman"/>
                <w:szCs w:val="21"/>
              </w:rPr>
            </w:pPr>
            <w:r w:rsidRPr="009A5A63">
              <w:rPr>
                <w:rFonts w:ascii="Arial" w:eastAsia="仿宋_GB2312" w:hAnsi="Arial" w:cs="Times New Roman" w:hint="eastAsia"/>
                <w:b/>
                <w:szCs w:val="21"/>
              </w:rPr>
              <w:t>市场份额</w:t>
            </w:r>
            <w:r w:rsidRPr="009A5A63">
              <w:rPr>
                <w:rFonts w:ascii="Arial" w:eastAsia="仿宋_GB2312" w:hAnsi="Arial" w:cs="Times New Roman" w:hint="eastAsia"/>
                <w:szCs w:val="21"/>
              </w:rPr>
              <w:t>：</w:t>
            </w:r>
            <w:r w:rsidR="00F11DA1" w:rsidRPr="009A5A63">
              <w:rPr>
                <w:rFonts w:ascii="Arial" w:eastAsia="仿宋_GB2312" w:hAnsi="Arial" w:cs="Times New Roman" w:hint="eastAsia"/>
                <w:szCs w:val="21"/>
              </w:rPr>
              <w:t>T</w:t>
            </w:r>
            <w:r w:rsidR="00F11DA1" w:rsidRPr="009A5A63">
              <w:rPr>
                <w:rFonts w:ascii="Arial" w:eastAsia="仿宋_GB2312" w:hAnsi="Arial" w:cs="Times New Roman"/>
                <w:szCs w:val="21"/>
              </w:rPr>
              <w:t>MX UK</w:t>
            </w:r>
            <w:r w:rsidR="00F11DA1" w:rsidRPr="009A5A63">
              <w:rPr>
                <w:rFonts w:ascii="Arial" w:eastAsia="仿宋_GB2312" w:hAnsi="Arial" w:cs="Times New Roman" w:hint="eastAsia"/>
                <w:szCs w:val="21"/>
              </w:rPr>
              <w:t>（</w:t>
            </w:r>
            <w:r w:rsidR="00BA4C89" w:rsidRPr="009A5A63">
              <w:rPr>
                <w:rFonts w:ascii="Arial" w:eastAsia="仿宋_GB2312" w:hAnsi="Arial" w:cs="Times New Roman" w:hint="eastAsia"/>
                <w:szCs w:val="21"/>
              </w:rPr>
              <w:t>目标公司</w:t>
            </w:r>
            <w:r w:rsidR="00F11DA1" w:rsidRPr="009A5A63">
              <w:rPr>
                <w:rFonts w:ascii="Arial" w:eastAsia="仿宋_GB2312" w:hAnsi="Arial" w:cs="Times New Roman" w:hint="eastAsia"/>
                <w:szCs w:val="21"/>
              </w:rPr>
              <w:t>）</w:t>
            </w:r>
            <w:r w:rsidR="00284182" w:rsidRPr="009A5A63">
              <w:rPr>
                <w:rFonts w:ascii="Arial" w:eastAsia="仿宋_GB2312" w:hAnsi="Arial" w:cs="Times New Roman" w:hint="eastAsia"/>
                <w:szCs w:val="21"/>
              </w:rPr>
              <w:t xml:space="preserve"> </w:t>
            </w:r>
            <w:r w:rsidRPr="009A5A63">
              <w:rPr>
                <w:rFonts w:ascii="Arial" w:eastAsia="仿宋_GB2312" w:hAnsi="Arial" w:cs="Times New Roman"/>
                <w:szCs w:val="21"/>
              </w:rPr>
              <w:t>[0-5%]</w:t>
            </w:r>
          </w:p>
          <w:p w14:paraId="4B1CFD01" w14:textId="33FC3245" w:rsidR="00F11DA1" w:rsidRPr="009A5A63" w:rsidRDefault="00F11DA1" w:rsidP="00BA4C89">
            <w:pPr>
              <w:rPr>
                <w:rFonts w:ascii="Arial" w:eastAsia="仿宋_GB2312" w:hAnsi="Arial" w:cs="Times New Roman"/>
                <w:szCs w:val="21"/>
              </w:rPr>
            </w:pPr>
          </w:p>
        </w:tc>
      </w:tr>
    </w:tbl>
    <w:p w14:paraId="7E343A43" w14:textId="77777777" w:rsidR="002D4F81" w:rsidRPr="009A5A63" w:rsidRDefault="002D4F81">
      <w:pPr>
        <w:rPr>
          <w:rFonts w:ascii="Arial" w:eastAsia="仿宋_GB2312" w:hAnsi="Arial" w:cs="Times New Roman"/>
          <w:szCs w:val="21"/>
        </w:rPr>
      </w:pPr>
    </w:p>
    <w:p w14:paraId="34AC0996" w14:textId="77777777" w:rsidR="002D4F81" w:rsidRPr="009A5A63" w:rsidRDefault="00701F5B">
      <w:pPr>
        <w:snapToGrid w:val="0"/>
        <w:jc w:val="left"/>
        <w:rPr>
          <w:rFonts w:ascii="Arial" w:eastAsia="仿宋_GB2312" w:hAnsi="Arial" w:cs="Times New Roman"/>
          <w:szCs w:val="21"/>
        </w:rPr>
      </w:pPr>
      <w:r w:rsidRPr="009A5A63">
        <w:rPr>
          <w:rFonts w:ascii="Arial" w:eastAsia="仿宋_GB2312" w:hAnsi="Arial" w:cs="Times New Roman" w:hint="eastAsia"/>
          <w:szCs w:val="21"/>
        </w:rPr>
        <w:t>注解：</w:t>
      </w:r>
    </w:p>
    <w:p w14:paraId="46F8930A" w14:textId="77777777" w:rsidR="002D4F81" w:rsidRPr="009A5A63" w:rsidRDefault="00701F5B">
      <w:pPr>
        <w:pStyle w:val="a9"/>
        <w:numPr>
          <w:ilvl w:val="0"/>
          <w:numId w:val="3"/>
        </w:numPr>
        <w:ind w:firstLineChars="0"/>
        <w:rPr>
          <w:rFonts w:ascii="Arial" w:eastAsia="仿宋_GB2312" w:hAnsi="Arial" w:cs="Times New Roman"/>
          <w:szCs w:val="21"/>
        </w:rPr>
      </w:pPr>
      <w:r w:rsidRPr="009A5A63">
        <w:rPr>
          <w:rFonts w:ascii="Arial" w:eastAsia="仿宋_GB2312" w:hAnsi="Arial" w:cs="Times New Roman" w:hint="eastAsia"/>
          <w:szCs w:val="21"/>
        </w:rPr>
        <w:t>申报方申请简易案件的理由是基于</w:t>
      </w:r>
      <w:r w:rsidRPr="009A5A63">
        <w:rPr>
          <w:rFonts w:ascii="Arial" w:eastAsia="仿宋_GB2312" w:hAnsi="Arial" w:cs="Times New Roman"/>
          <w:szCs w:val="21"/>
        </w:rPr>
        <w:t>1-3</w:t>
      </w:r>
      <w:r w:rsidRPr="009A5A63">
        <w:rPr>
          <w:rFonts w:ascii="Arial" w:eastAsia="仿宋_GB2312" w:hAnsi="Arial" w:cs="Times New Roman" w:hint="eastAsia"/>
          <w:szCs w:val="21"/>
        </w:rPr>
        <w:t>项时，须在备注中说明界定的相关商品市场和相关地域市场（无须阐述界定理由），以及相关市场份额；市场份额可以区间形式提供，区间幅度不应超过</w:t>
      </w:r>
      <w:r w:rsidRPr="009A5A63">
        <w:rPr>
          <w:rFonts w:ascii="Arial" w:eastAsia="仿宋_GB2312" w:hAnsi="Arial" w:cs="Times New Roman"/>
          <w:szCs w:val="21"/>
        </w:rPr>
        <w:t>5%</w:t>
      </w:r>
      <w:r w:rsidRPr="009A5A63">
        <w:rPr>
          <w:rFonts w:ascii="Arial" w:eastAsia="仿宋_GB2312" w:hAnsi="Arial" w:cs="Times New Roman" w:hint="eastAsia"/>
          <w:szCs w:val="21"/>
        </w:rPr>
        <w:t>。</w:t>
      </w:r>
      <w:r w:rsidRPr="009A5A63">
        <w:rPr>
          <w:rFonts w:ascii="Arial" w:eastAsia="仿宋_GB2312" w:hAnsi="Arial" w:cs="Times New Roman"/>
          <w:szCs w:val="21"/>
        </w:rPr>
        <w:t>1-3</w:t>
      </w:r>
      <w:r w:rsidRPr="009A5A63">
        <w:rPr>
          <w:rFonts w:ascii="Arial" w:eastAsia="仿宋_GB2312" w:hAnsi="Arial" w:cs="Times New Roman" w:hint="eastAsia"/>
          <w:szCs w:val="21"/>
        </w:rPr>
        <w:t>项可以多选，也可单选；没有勾选的，视为本集中不涉及该类型交易。</w:t>
      </w:r>
    </w:p>
    <w:p w14:paraId="492DAE6A" w14:textId="77777777" w:rsidR="002D4F81" w:rsidRPr="009A5A63" w:rsidRDefault="00701F5B">
      <w:pPr>
        <w:pStyle w:val="a9"/>
        <w:numPr>
          <w:ilvl w:val="0"/>
          <w:numId w:val="3"/>
        </w:numPr>
        <w:ind w:firstLineChars="0"/>
        <w:rPr>
          <w:rFonts w:ascii="Arial" w:eastAsia="仿宋_GB2312" w:hAnsi="Arial" w:cs="Times New Roman"/>
          <w:szCs w:val="21"/>
        </w:rPr>
      </w:pPr>
      <w:r w:rsidRPr="009A5A63">
        <w:rPr>
          <w:rFonts w:ascii="Arial" w:eastAsia="仿宋_GB2312" w:hAnsi="Arial" w:cs="Times New Roman" w:hint="eastAsia"/>
          <w:szCs w:val="21"/>
        </w:rPr>
        <w:lastRenderedPageBreak/>
        <w:t>申报方申请简易案件的理由是基于第</w:t>
      </w:r>
      <w:r w:rsidRPr="009A5A63">
        <w:rPr>
          <w:rFonts w:ascii="Arial" w:eastAsia="仿宋_GB2312" w:hAnsi="Arial" w:cs="Times New Roman"/>
          <w:szCs w:val="21"/>
        </w:rPr>
        <w:t>4</w:t>
      </w:r>
      <w:r w:rsidRPr="009A5A63">
        <w:rPr>
          <w:rFonts w:ascii="Arial" w:eastAsia="仿宋_GB2312" w:hAnsi="Arial" w:cs="Times New Roman" w:hint="eastAsia"/>
          <w:szCs w:val="21"/>
        </w:rPr>
        <w:t>项、第</w:t>
      </w:r>
      <w:r w:rsidRPr="009A5A63">
        <w:rPr>
          <w:rFonts w:ascii="Arial" w:eastAsia="仿宋_GB2312" w:hAnsi="Arial" w:cs="Times New Roman"/>
          <w:szCs w:val="21"/>
        </w:rPr>
        <w:t>5</w:t>
      </w:r>
      <w:r w:rsidRPr="009A5A63">
        <w:rPr>
          <w:rFonts w:ascii="Arial" w:eastAsia="仿宋_GB2312" w:hAnsi="Arial" w:cs="Times New Roman" w:hint="eastAsia"/>
          <w:szCs w:val="21"/>
        </w:rPr>
        <w:t>项时，无须在备注中说明相关市场和市场份额。</w:t>
      </w:r>
    </w:p>
    <w:p w14:paraId="38D7513B" w14:textId="7934893A" w:rsidR="002D4F81" w:rsidRPr="009A5A63" w:rsidRDefault="00701F5B" w:rsidP="00847CA2">
      <w:pPr>
        <w:pStyle w:val="a9"/>
        <w:numPr>
          <w:ilvl w:val="0"/>
          <w:numId w:val="3"/>
        </w:numPr>
        <w:ind w:firstLineChars="0"/>
        <w:rPr>
          <w:rFonts w:ascii="Arial" w:eastAsia="仿宋_GB2312" w:hAnsi="Arial" w:cs="Times New Roman"/>
          <w:szCs w:val="21"/>
        </w:rPr>
      </w:pPr>
      <w:r w:rsidRPr="009A5A63">
        <w:rPr>
          <w:rFonts w:ascii="Arial" w:eastAsia="仿宋_GB2312" w:hAnsi="Arial" w:cs="Times New Roman" w:hint="eastAsia"/>
          <w:szCs w:val="21"/>
        </w:rPr>
        <w:t>由两个或两个以上经营者共同控制的合营企业，通过集中被其中的一个经营者控制，如果该经营者与合营企业属于同一相关市场的竞争者，则申报方在申请简易案件时，须同时勾选第</w:t>
      </w:r>
      <w:r w:rsidRPr="009A5A63">
        <w:rPr>
          <w:rFonts w:ascii="Arial" w:eastAsia="仿宋_GB2312" w:hAnsi="Arial" w:cs="Times New Roman"/>
          <w:szCs w:val="21"/>
        </w:rPr>
        <w:t>1</w:t>
      </w:r>
      <w:r w:rsidRPr="009A5A63">
        <w:rPr>
          <w:rFonts w:ascii="Arial" w:eastAsia="仿宋_GB2312" w:hAnsi="Arial" w:cs="Times New Roman" w:hint="eastAsia"/>
          <w:szCs w:val="21"/>
        </w:rPr>
        <w:t>项和第</w:t>
      </w:r>
      <w:r w:rsidRPr="009A5A63">
        <w:rPr>
          <w:rFonts w:ascii="Arial" w:eastAsia="仿宋_GB2312" w:hAnsi="Arial" w:cs="Times New Roman"/>
          <w:szCs w:val="21"/>
        </w:rPr>
        <w:t>6</w:t>
      </w:r>
      <w:r w:rsidRPr="009A5A63">
        <w:rPr>
          <w:rFonts w:ascii="Arial" w:eastAsia="仿宋_GB2312" w:hAnsi="Arial" w:cs="Times New Roman" w:hint="eastAsia"/>
          <w:szCs w:val="21"/>
        </w:rPr>
        <w:t>项理由，并在备注中说明界定的相关商品市场和相关地域市场（无须阐述界定理由），以及相关市场份额。市场份额可以区间形式提供，区间幅度不应超过</w:t>
      </w:r>
      <w:r w:rsidRPr="009A5A63">
        <w:rPr>
          <w:rFonts w:ascii="Arial" w:eastAsia="仿宋_GB2312" w:hAnsi="Arial" w:cs="Times New Roman"/>
          <w:szCs w:val="21"/>
        </w:rPr>
        <w:t>5%</w:t>
      </w:r>
      <w:r w:rsidRPr="009A5A63">
        <w:rPr>
          <w:rFonts w:ascii="Arial" w:eastAsia="仿宋_GB2312" w:hAnsi="Arial" w:cs="Times New Roman" w:hint="eastAsia"/>
          <w:szCs w:val="21"/>
        </w:rPr>
        <w:t>。</w:t>
      </w:r>
    </w:p>
    <w:sectPr w:rsidR="002D4F81" w:rsidRPr="009A5A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699F2" w14:textId="77777777" w:rsidR="00AB6A2A" w:rsidRDefault="00AB6A2A">
      <w:r>
        <w:separator/>
      </w:r>
    </w:p>
  </w:endnote>
  <w:endnote w:type="continuationSeparator" w:id="0">
    <w:p w14:paraId="7539AD37" w14:textId="77777777" w:rsidR="00AB6A2A" w:rsidRDefault="00AB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65880" w14:textId="77777777" w:rsidR="00AB6A2A" w:rsidRDefault="00AB6A2A">
      <w:r>
        <w:separator/>
      </w:r>
    </w:p>
  </w:footnote>
  <w:footnote w:type="continuationSeparator" w:id="0">
    <w:p w14:paraId="78F1C88A" w14:textId="77777777" w:rsidR="00AB6A2A" w:rsidRDefault="00AB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3292"/>
    <w:multiLevelType w:val="hybridMultilevel"/>
    <w:tmpl w:val="A8AE9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7E2DA0"/>
    <w:multiLevelType w:val="multilevel"/>
    <w:tmpl w:val="4D7E2DA0"/>
    <w:lvl w:ilvl="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9E4F16"/>
    <w:multiLevelType w:val="hybridMultilevel"/>
    <w:tmpl w:val="997CC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D2"/>
    <w:rsid w:val="000773D7"/>
    <w:rsid w:val="000C53E2"/>
    <w:rsid w:val="000D4BED"/>
    <w:rsid w:val="000E7338"/>
    <w:rsid w:val="00152FF3"/>
    <w:rsid w:val="001A09A0"/>
    <w:rsid w:val="001B63D3"/>
    <w:rsid w:val="001D2B8C"/>
    <w:rsid w:val="00236D41"/>
    <w:rsid w:val="00284182"/>
    <w:rsid w:val="002842BD"/>
    <w:rsid w:val="00294CAB"/>
    <w:rsid w:val="002B7ED1"/>
    <w:rsid w:val="002D4F81"/>
    <w:rsid w:val="00330CB5"/>
    <w:rsid w:val="003314D4"/>
    <w:rsid w:val="00382B1D"/>
    <w:rsid w:val="003A4EAD"/>
    <w:rsid w:val="003D0442"/>
    <w:rsid w:val="003D7147"/>
    <w:rsid w:val="003E1875"/>
    <w:rsid w:val="004268A1"/>
    <w:rsid w:val="00470BF0"/>
    <w:rsid w:val="00481C69"/>
    <w:rsid w:val="0048366A"/>
    <w:rsid w:val="004D6C78"/>
    <w:rsid w:val="00514E60"/>
    <w:rsid w:val="00542AD3"/>
    <w:rsid w:val="005932F8"/>
    <w:rsid w:val="005B406B"/>
    <w:rsid w:val="006631A7"/>
    <w:rsid w:val="00676758"/>
    <w:rsid w:val="006F15B7"/>
    <w:rsid w:val="00701F5B"/>
    <w:rsid w:val="00747F49"/>
    <w:rsid w:val="007F375B"/>
    <w:rsid w:val="00802606"/>
    <w:rsid w:val="00806863"/>
    <w:rsid w:val="00847CA2"/>
    <w:rsid w:val="008C4F8A"/>
    <w:rsid w:val="008F0930"/>
    <w:rsid w:val="0093341C"/>
    <w:rsid w:val="009467FF"/>
    <w:rsid w:val="00964018"/>
    <w:rsid w:val="00972442"/>
    <w:rsid w:val="009A5A63"/>
    <w:rsid w:val="009A614D"/>
    <w:rsid w:val="009B51EF"/>
    <w:rsid w:val="009D60EA"/>
    <w:rsid w:val="00AB6A2A"/>
    <w:rsid w:val="00AC71EC"/>
    <w:rsid w:val="00AF7E94"/>
    <w:rsid w:val="00B40E86"/>
    <w:rsid w:val="00B5019E"/>
    <w:rsid w:val="00B746D2"/>
    <w:rsid w:val="00B779B7"/>
    <w:rsid w:val="00BA4C89"/>
    <w:rsid w:val="00BB18F9"/>
    <w:rsid w:val="00BE20E5"/>
    <w:rsid w:val="00BF6442"/>
    <w:rsid w:val="00BF7D82"/>
    <w:rsid w:val="00C4540E"/>
    <w:rsid w:val="00CB5AB6"/>
    <w:rsid w:val="00D230A4"/>
    <w:rsid w:val="00D34110"/>
    <w:rsid w:val="00D35D8D"/>
    <w:rsid w:val="00D87882"/>
    <w:rsid w:val="00D91E83"/>
    <w:rsid w:val="00DF37F1"/>
    <w:rsid w:val="00DF671C"/>
    <w:rsid w:val="00EC3825"/>
    <w:rsid w:val="00EE1AF1"/>
    <w:rsid w:val="00F11DA1"/>
    <w:rsid w:val="00F52855"/>
    <w:rsid w:val="00F76050"/>
    <w:rsid w:val="00F855F4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7D0AE"/>
  <w15:chartTrackingRefBased/>
  <w15:docId w15:val="{07369886-A383-4B2C-98B7-CFEF8B43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7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75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32F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32F8"/>
    <w:rPr>
      <w:sz w:val="18"/>
      <w:szCs w:val="18"/>
    </w:rPr>
  </w:style>
  <w:style w:type="paragraph" w:styleId="a9">
    <w:name w:val="List Paragraph"/>
    <w:basedOn w:val="a"/>
    <w:uiPriority w:val="34"/>
    <w:qFormat/>
    <w:rsid w:val="005932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Chang'e_Public Announcement Form_CN_HW 2021.04.18. compared with A44390959 v0.1 210419_Project Nobel_Public Announcement Form_Chinese</dc:title>
  <dc:subject>
  </dc:subject>
  <dc:creator>Haiwen</dc:creator>
  <cp:keywords>
  </cp:keywords>
  <dc:description>
  </dc:description>
  <cp:lastModifiedBy>Haiwen</cp:lastModifiedBy>
  <cp:revision>4</cp:revision>
  <dcterms:created xsi:type="dcterms:W3CDTF">2021-07-22T16:37:00Z</dcterms:created>
  <dcterms:modified xsi:type="dcterms:W3CDTF">2021-09-22T11:21:00Z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bp_dc_filepath">
    <vt:lpwstr>C\\\rDeuC19PPen:iAlTppae\Cblon_N.85 _r_ucmie\apaerdpDt o_ncm_4.9v9olbnehsUlpcmofmouPNPnerH0 001jelunCeszDopCDocpr uAmoW.v9.4ebiot_-xekaL\socstotb eF 1 310cocn m1cr\t\Dcc \ujclcn 22A4 1tN nFr.osaosOeit042 Aod</vt:lpwstr>
  </property>
  <property fmtid="{D5CDD505-2E9C-101B-9397-08002B2CF9AE}" pid="3" name="bp_dc_comparedocs">
    <vt:lpwstr>4.3.301.4 _tc</vt:lpwstr>
  </property>
  <property fmtid="{D5CDD505-2E9C-101B-9397-08002B2CF9AE}" pid="4" name="/bp_dc_orgversion">
    <vt:lpwstr>C\\\rtlnN8:iAlTppaen\e_ucC_1.\apaerdpDePbPoe_H..UlpcmofmomrounmmW4d:szDopCDocuoNbner 0o*ekaL\socscj lAno2.c*r\t\Dcc \oeti tF01x*saosDcc 2!</vt:lpwstr>
  </property>
  <property fmtid="{D5CDD505-2E9C-101B-9397-08002B2CF9AE}" pid="5" name="/bp_dc_modversion">
    <vt:lpwstr>C\\\rt.eit.:iAlTppaen\01jclcn ed\apaerdpDeAv otb eFsoUlpcmofmom4 2r uAmoecszDopCDocu491PNPnernxekaL\socsc350_o_ncmi!:r\t\Dcc \o9949blon_h**saosD01euC*</vt:lpwstr>
  </property>
</Properties>
</file>