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仿宋_GB2312"/>
          <w:sz w:val="28"/>
          <w:szCs w:val="28"/>
        </w:rPr>
      </w:pPr>
      <w:bookmarkStart w:id="0" w:name="_GoBack"/>
      <w:bookmarkEnd w:id="0"/>
    </w:p>
    <w:p>
      <w:pPr>
        <w:spacing w:line="440" w:lineRule="exact"/>
        <w:jc w:val="center"/>
        <w:rPr>
          <w:rFonts w:ascii="Times New Roman" w:hAnsi="Times New Roman" w:eastAsia="黑体"/>
          <w:sz w:val="30"/>
          <w:szCs w:val="30"/>
        </w:rPr>
      </w:pPr>
      <w:r>
        <w:rPr>
          <w:rFonts w:ascii="Times New Roman" w:hAnsi="Times New Roman" w:eastAsia="黑体"/>
          <w:sz w:val="30"/>
          <w:szCs w:val="30"/>
        </w:rPr>
        <w:t>经营者集中简易案件公示表</w:t>
      </w:r>
    </w:p>
    <w:p>
      <w:pPr>
        <w:spacing w:line="440" w:lineRule="exact"/>
        <w:ind w:firstLine="845" w:firstLineChars="302"/>
        <w:rPr>
          <w:rFonts w:ascii="Times New Roman" w:hAnsi="Times New Roman" w:eastAsia="仿宋_GB2312"/>
          <w:sz w:val="28"/>
          <w:szCs w:val="28"/>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案件名称</w:t>
            </w:r>
          </w:p>
        </w:tc>
        <w:tc>
          <w:tcPr>
            <w:tcW w:w="6949" w:type="dxa"/>
            <w:gridSpan w:val="2"/>
          </w:tcPr>
          <w:p>
            <w:pPr>
              <w:tabs>
                <w:tab w:val="left" w:pos="1215"/>
              </w:tabs>
              <w:spacing w:line="500" w:lineRule="exact"/>
              <w:rPr>
                <w:rFonts w:ascii="Times New Roman" w:hAnsi="Times New Roman" w:eastAsia="仿宋_GB2312"/>
                <w:sz w:val="28"/>
                <w:szCs w:val="28"/>
              </w:rPr>
            </w:pPr>
            <w:r>
              <w:rPr>
                <w:rFonts w:hint="eastAsia" w:ascii="Times New Roman" w:hAnsi="Times New Roman" w:eastAsia="仿宋_GB2312"/>
                <w:sz w:val="28"/>
                <w:szCs w:val="28"/>
              </w:rPr>
              <w:t>渣打英国控股有限公司与联易融香港有限公司新设合营企业案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交易概况（限200字内）</w:t>
            </w:r>
          </w:p>
        </w:tc>
        <w:tc>
          <w:tcPr>
            <w:tcW w:w="6949" w:type="dxa"/>
            <w:gridSpan w:val="2"/>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021年</w:t>
            </w:r>
            <w:r>
              <w:rPr>
                <w:rFonts w:hint="eastAsia" w:ascii="Times New Roman" w:hAnsi="Times New Roman" w:eastAsia="仿宋_GB2312"/>
                <w:sz w:val="28"/>
                <w:szCs w:val="28"/>
              </w:rPr>
              <w:t>8月2</w:t>
            </w:r>
            <w:r>
              <w:rPr>
                <w:rFonts w:ascii="Times New Roman" w:hAnsi="Times New Roman" w:eastAsia="仿宋_GB2312"/>
                <w:sz w:val="28"/>
                <w:szCs w:val="28"/>
              </w:rPr>
              <w:t>6日</w:t>
            </w:r>
            <w:r>
              <w:rPr>
                <w:rFonts w:hint="eastAsia" w:ascii="Times New Roman" w:hAnsi="Times New Roman" w:eastAsia="仿宋_GB2312"/>
                <w:sz w:val="28"/>
                <w:szCs w:val="28"/>
              </w:rPr>
              <w:t>，</w:t>
            </w:r>
            <w:r>
              <w:rPr>
                <w:rFonts w:ascii="Times New Roman" w:hAnsi="Times New Roman" w:eastAsia="仿宋_GB2312"/>
                <w:sz w:val="28"/>
                <w:szCs w:val="28"/>
              </w:rPr>
              <w:t>渣打英国控股有限公司</w:t>
            </w:r>
            <w:r>
              <w:rPr>
                <w:rFonts w:hint="eastAsia" w:ascii="Times New Roman" w:hAnsi="Times New Roman" w:eastAsia="仿宋_GB2312"/>
                <w:sz w:val="28"/>
                <w:szCs w:val="28"/>
              </w:rPr>
              <w:t>（“</w:t>
            </w:r>
            <w:r>
              <w:rPr>
                <w:rFonts w:hint="eastAsia" w:ascii="Times New Roman" w:hAnsi="Times New Roman" w:eastAsia="仿宋_GB2312"/>
                <w:b/>
                <w:sz w:val="28"/>
                <w:szCs w:val="28"/>
              </w:rPr>
              <w:t>渣打英国</w:t>
            </w:r>
            <w:r>
              <w:rPr>
                <w:rFonts w:hint="eastAsia" w:ascii="Times New Roman" w:hAnsi="Times New Roman" w:eastAsia="仿宋_GB2312"/>
                <w:sz w:val="28"/>
                <w:szCs w:val="28"/>
              </w:rPr>
              <w:t>”，渣打银行的全资子公司）和联易融香港有限公司（“</w:t>
            </w:r>
            <w:r>
              <w:rPr>
                <w:rFonts w:hint="eastAsia" w:ascii="Times New Roman" w:hAnsi="Times New Roman" w:eastAsia="仿宋_GB2312"/>
                <w:b/>
                <w:sz w:val="28"/>
                <w:szCs w:val="28"/>
              </w:rPr>
              <w:t>联易融香港</w:t>
            </w:r>
            <w:r>
              <w:rPr>
                <w:rFonts w:hint="eastAsia" w:ascii="Times New Roman" w:hAnsi="Times New Roman" w:eastAsia="仿宋_GB2312"/>
                <w:sz w:val="28"/>
                <w:szCs w:val="28"/>
              </w:rPr>
              <w:t>”，联易融科技集团（“</w:t>
            </w:r>
            <w:r>
              <w:rPr>
                <w:rFonts w:hint="eastAsia" w:ascii="Times New Roman" w:hAnsi="Times New Roman" w:eastAsia="仿宋_GB2312"/>
                <w:b/>
                <w:sz w:val="28"/>
                <w:szCs w:val="28"/>
              </w:rPr>
              <w:t>联易融</w:t>
            </w:r>
            <w:r>
              <w:rPr>
                <w:rFonts w:hint="eastAsia" w:ascii="Times New Roman" w:hAnsi="Times New Roman" w:eastAsia="仿宋_GB2312"/>
                <w:sz w:val="28"/>
                <w:szCs w:val="28"/>
              </w:rPr>
              <w:t>”）的全资子公司）订立了股东协议，约定交易方拟在新加坡设立一家合营企业，并以5</w:t>
            </w:r>
            <w:r>
              <w:rPr>
                <w:rFonts w:ascii="Times New Roman" w:hAnsi="Times New Roman" w:eastAsia="仿宋_GB2312"/>
                <w:sz w:val="28"/>
                <w:szCs w:val="28"/>
              </w:rPr>
              <w:t>0</w:t>
            </w:r>
            <w:r>
              <w:rPr>
                <w:rFonts w:hint="eastAsia" w:ascii="Times New Roman" w:hAnsi="Times New Roman" w:eastAsia="仿宋_GB2312"/>
                <w:sz w:val="28"/>
                <w:szCs w:val="28"/>
              </w:rPr>
              <w:t>/50的比例控制该合营企业。因此，合营企业将由渣打</w:t>
            </w:r>
            <w:r>
              <w:rPr>
                <w:rFonts w:ascii="Times New Roman" w:hAnsi="Times New Roman" w:eastAsia="仿宋_GB2312"/>
                <w:sz w:val="28"/>
                <w:szCs w:val="28"/>
              </w:rPr>
              <w:t>银行和联易融间接共同控制</w:t>
            </w:r>
            <w:r>
              <w:rPr>
                <w:rFonts w:hint="eastAsia"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参与集中的经营者简介</w:t>
            </w:r>
          </w:p>
        </w:tc>
        <w:tc>
          <w:tcPr>
            <w:tcW w:w="1796" w:type="dxa"/>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1、渣打英国</w:t>
            </w:r>
          </w:p>
        </w:tc>
        <w:tc>
          <w:tcPr>
            <w:tcW w:w="5153"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渣打英国</w:t>
            </w:r>
            <w:r>
              <w:rPr>
                <w:rFonts w:hint="eastAsia" w:ascii="Times New Roman" w:hAnsi="Times New Roman" w:eastAsia="仿宋_GB2312"/>
                <w:sz w:val="28"/>
                <w:szCs w:val="28"/>
              </w:rPr>
              <w:t>1</w:t>
            </w:r>
            <w:r>
              <w:rPr>
                <w:rFonts w:ascii="Times New Roman" w:hAnsi="Times New Roman" w:eastAsia="仿宋_GB2312"/>
                <w:sz w:val="28"/>
                <w:szCs w:val="28"/>
              </w:rPr>
              <w:t>853年成立于英国</w:t>
            </w:r>
            <w:r>
              <w:rPr>
                <w:rFonts w:hint="eastAsia" w:ascii="Times New Roman" w:hAnsi="Times New Roman" w:eastAsia="仿宋_GB2312"/>
                <w:sz w:val="28"/>
                <w:szCs w:val="28"/>
              </w:rPr>
              <w:t>，</w:t>
            </w:r>
            <w:r>
              <w:rPr>
                <w:rFonts w:ascii="Times New Roman" w:hAnsi="Times New Roman" w:eastAsia="仿宋_GB2312"/>
                <w:sz w:val="28"/>
                <w:szCs w:val="28"/>
              </w:rPr>
              <w:t>是渣打银行的子公司</w:t>
            </w:r>
            <w:r>
              <w:rPr>
                <w:rFonts w:hint="eastAsia" w:ascii="Times New Roman" w:hAnsi="Times New Roman" w:eastAsia="仿宋_GB2312"/>
                <w:sz w:val="28"/>
                <w:szCs w:val="28"/>
              </w:rPr>
              <w:t>。</w:t>
            </w:r>
            <w:r>
              <w:rPr>
                <w:rFonts w:ascii="Times New Roman" w:hAnsi="Times New Roman" w:eastAsia="仿宋_GB2312"/>
                <w:sz w:val="28"/>
                <w:szCs w:val="28"/>
              </w:rPr>
              <w:t>渣打银行是一家领先的国际银行集团，在全球59个最具活力的市场均有业务，并为另外85个市场的客户提供服务。渣打英国的主要业务是作为持股公司持有对其子公司的投资</w:t>
            </w:r>
            <w:r>
              <w:rPr>
                <w:rFonts w:hint="eastAsia"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1796" w:type="dxa"/>
          </w:tcPr>
          <w:p>
            <w:pPr>
              <w:spacing w:line="500" w:lineRule="exac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联易融香港</w:t>
            </w:r>
          </w:p>
        </w:tc>
        <w:tc>
          <w:tcPr>
            <w:tcW w:w="5153" w:type="dxa"/>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联易融香港2</w:t>
            </w:r>
            <w:r>
              <w:rPr>
                <w:rFonts w:ascii="Times New Roman" w:hAnsi="Times New Roman" w:eastAsia="仿宋_GB2312"/>
                <w:sz w:val="28"/>
                <w:szCs w:val="28"/>
              </w:rPr>
              <w:t>018年成立于香港</w:t>
            </w:r>
            <w:r>
              <w:rPr>
                <w:rFonts w:hint="eastAsia" w:ascii="Times New Roman" w:hAnsi="Times New Roman" w:eastAsia="仿宋_GB2312"/>
                <w:sz w:val="28"/>
                <w:szCs w:val="28"/>
              </w:rPr>
              <w:t>，是联易融的全资子公司。联易融是中国供应链金融技术解决方案供应商。其云原生解决方案优化了供应链交易的支付周期，并将供应链金融的整个工作流程数字化。它通过高效、可靠的供应链金融技术解决方案为其核心企业和金融机构客户提供支持，并提高供应链金融生态系统的透明度和连接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简易案件理由（可以单选，也可以多选）</w:t>
            </w: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ascii="Times New Roman" w:hAnsi="Times New Roman" w:eastAsia="仿宋_GB2312"/>
                <w:sz w:val="28"/>
                <w:szCs w:val="28"/>
              </w:rPr>
              <w:sym w:font="Wingdings" w:char="F0FE"/>
            </w:r>
            <w:r>
              <w:rPr>
                <w:rFonts w:ascii="Times New Roman" w:hAnsi="Times New Roman" w:eastAsia="仿宋_GB2312"/>
                <w:sz w:val="28"/>
                <w:szCs w:val="28"/>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备注</w:t>
            </w:r>
          </w:p>
        </w:tc>
        <w:tc>
          <w:tcPr>
            <w:tcW w:w="6949" w:type="dxa"/>
            <w:gridSpan w:val="2"/>
          </w:tcPr>
          <w:p>
            <w:pPr>
              <w:spacing w:line="500" w:lineRule="exact"/>
              <w:rPr>
                <w:rFonts w:hint="eastAsia" w:ascii="Times New Roman" w:hAnsi="Times New Roman" w:eastAsia="仿宋_GB2312"/>
                <w:sz w:val="28"/>
                <w:szCs w:val="28"/>
              </w:rPr>
            </w:pPr>
            <w:r>
              <w:rPr>
                <w:rFonts w:hint="eastAsia" w:ascii="Times New Roman" w:hAnsi="Times New Roman" w:eastAsia="仿宋_GB2312"/>
                <w:sz w:val="28"/>
                <w:szCs w:val="28"/>
              </w:rPr>
              <w:t>由于合营企业不会在中国从事任何业务活动，拟议交易可适用简易程序案由第</w:t>
            </w:r>
            <w:r>
              <w:rPr>
                <w:rFonts w:ascii="Times New Roman" w:hAnsi="Times New Roman" w:eastAsia="仿宋_GB2312"/>
                <w:sz w:val="28"/>
                <w:szCs w:val="28"/>
              </w:rPr>
              <w:t>4</w:t>
            </w:r>
            <w:r>
              <w:rPr>
                <w:rFonts w:hint="eastAsia" w:ascii="Times New Roman" w:hAnsi="Times New Roman" w:eastAsia="仿宋_GB2312"/>
                <w:sz w:val="28"/>
                <w:szCs w:val="28"/>
              </w:rPr>
              <w:t>条的情况。根据总局发布的简易案件公示表模板中的注释，无需在备注中提供市场界定和5%范围内的市场份额。</w:t>
            </w: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NotTrackFormatting/>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40B55"/>
    <w:rsid w:val="00045653"/>
    <w:rsid w:val="00050DC7"/>
    <w:rsid w:val="000677C0"/>
    <w:rsid w:val="0007346C"/>
    <w:rsid w:val="00077988"/>
    <w:rsid w:val="00082207"/>
    <w:rsid w:val="0008693D"/>
    <w:rsid w:val="00091462"/>
    <w:rsid w:val="00094095"/>
    <w:rsid w:val="00096AEF"/>
    <w:rsid w:val="000E7773"/>
    <w:rsid w:val="001015A6"/>
    <w:rsid w:val="00113C30"/>
    <w:rsid w:val="00125628"/>
    <w:rsid w:val="001430D6"/>
    <w:rsid w:val="00193615"/>
    <w:rsid w:val="001B683F"/>
    <w:rsid w:val="001D1C76"/>
    <w:rsid w:val="001F4236"/>
    <w:rsid w:val="0020168A"/>
    <w:rsid w:val="0020710D"/>
    <w:rsid w:val="00217041"/>
    <w:rsid w:val="00245776"/>
    <w:rsid w:val="00256CDF"/>
    <w:rsid w:val="0028764C"/>
    <w:rsid w:val="002B5865"/>
    <w:rsid w:val="002C2F74"/>
    <w:rsid w:val="002F1B15"/>
    <w:rsid w:val="002F2D60"/>
    <w:rsid w:val="002F5D2C"/>
    <w:rsid w:val="00303122"/>
    <w:rsid w:val="003072C7"/>
    <w:rsid w:val="00307976"/>
    <w:rsid w:val="00317B10"/>
    <w:rsid w:val="00317F92"/>
    <w:rsid w:val="00322739"/>
    <w:rsid w:val="00335871"/>
    <w:rsid w:val="003447A1"/>
    <w:rsid w:val="003641BC"/>
    <w:rsid w:val="003728AD"/>
    <w:rsid w:val="00374B8A"/>
    <w:rsid w:val="003D0DC2"/>
    <w:rsid w:val="003E7BA4"/>
    <w:rsid w:val="003F7F2C"/>
    <w:rsid w:val="00411328"/>
    <w:rsid w:val="00433FC3"/>
    <w:rsid w:val="00434B73"/>
    <w:rsid w:val="004558B4"/>
    <w:rsid w:val="004571A2"/>
    <w:rsid w:val="004579A1"/>
    <w:rsid w:val="00462174"/>
    <w:rsid w:val="0046767F"/>
    <w:rsid w:val="004D5718"/>
    <w:rsid w:val="004D63C1"/>
    <w:rsid w:val="004E6409"/>
    <w:rsid w:val="004F3BF8"/>
    <w:rsid w:val="005129DC"/>
    <w:rsid w:val="005148A2"/>
    <w:rsid w:val="005202B8"/>
    <w:rsid w:val="005235A8"/>
    <w:rsid w:val="00547D47"/>
    <w:rsid w:val="00555C3E"/>
    <w:rsid w:val="00564F5D"/>
    <w:rsid w:val="00566BDD"/>
    <w:rsid w:val="00576828"/>
    <w:rsid w:val="00580A39"/>
    <w:rsid w:val="00595357"/>
    <w:rsid w:val="005A1DBF"/>
    <w:rsid w:val="005A4CB4"/>
    <w:rsid w:val="005B26C0"/>
    <w:rsid w:val="005D49CC"/>
    <w:rsid w:val="005F0CAB"/>
    <w:rsid w:val="005F167B"/>
    <w:rsid w:val="005F5496"/>
    <w:rsid w:val="00661C72"/>
    <w:rsid w:val="0066507E"/>
    <w:rsid w:val="00695297"/>
    <w:rsid w:val="006F0BA9"/>
    <w:rsid w:val="00717878"/>
    <w:rsid w:val="0071797B"/>
    <w:rsid w:val="00730562"/>
    <w:rsid w:val="00732FA4"/>
    <w:rsid w:val="00772472"/>
    <w:rsid w:val="00777CC9"/>
    <w:rsid w:val="00790BCC"/>
    <w:rsid w:val="00792708"/>
    <w:rsid w:val="007A6E43"/>
    <w:rsid w:val="007B0FA1"/>
    <w:rsid w:val="007C7059"/>
    <w:rsid w:val="007F05BD"/>
    <w:rsid w:val="0081144E"/>
    <w:rsid w:val="00820CC2"/>
    <w:rsid w:val="008469BB"/>
    <w:rsid w:val="00867DF8"/>
    <w:rsid w:val="00894BE7"/>
    <w:rsid w:val="00897511"/>
    <w:rsid w:val="008A6BD6"/>
    <w:rsid w:val="008B112B"/>
    <w:rsid w:val="008C154B"/>
    <w:rsid w:val="008C3586"/>
    <w:rsid w:val="008D34EE"/>
    <w:rsid w:val="008E5D22"/>
    <w:rsid w:val="00930FF2"/>
    <w:rsid w:val="00937CFD"/>
    <w:rsid w:val="009464AA"/>
    <w:rsid w:val="00956066"/>
    <w:rsid w:val="00972D0E"/>
    <w:rsid w:val="0098423D"/>
    <w:rsid w:val="009B0588"/>
    <w:rsid w:val="009C0674"/>
    <w:rsid w:val="009D2FAD"/>
    <w:rsid w:val="00A03CB5"/>
    <w:rsid w:val="00A27451"/>
    <w:rsid w:val="00A54A96"/>
    <w:rsid w:val="00A577F4"/>
    <w:rsid w:val="00A92B80"/>
    <w:rsid w:val="00AA3B5D"/>
    <w:rsid w:val="00AB0CB5"/>
    <w:rsid w:val="00AD06A4"/>
    <w:rsid w:val="00AD3A60"/>
    <w:rsid w:val="00AE4447"/>
    <w:rsid w:val="00AF7325"/>
    <w:rsid w:val="00B205CD"/>
    <w:rsid w:val="00B21581"/>
    <w:rsid w:val="00B24159"/>
    <w:rsid w:val="00B25AB1"/>
    <w:rsid w:val="00B272B8"/>
    <w:rsid w:val="00B332B0"/>
    <w:rsid w:val="00B336F3"/>
    <w:rsid w:val="00B41110"/>
    <w:rsid w:val="00B62047"/>
    <w:rsid w:val="00B912EB"/>
    <w:rsid w:val="00BA0750"/>
    <w:rsid w:val="00BA63E8"/>
    <w:rsid w:val="00BB17DB"/>
    <w:rsid w:val="00BB2377"/>
    <w:rsid w:val="00BF0AB5"/>
    <w:rsid w:val="00BF49D5"/>
    <w:rsid w:val="00C063FA"/>
    <w:rsid w:val="00C11942"/>
    <w:rsid w:val="00C21621"/>
    <w:rsid w:val="00C26C7F"/>
    <w:rsid w:val="00C3228B"/>
    <w:rsid w:val="00C40E5F"/>
    <w:rsid w:val="00C4664E"/>
    <w:rsid w:val="00C8421A"/>
    <w:rsid w:val="00C9068E"/>
    <w:rsid w:val="00C96B80"/>
    <w:rsid w:val="00CA08FC"/>
    <w:rsid w:val="00CB2A9F"/>
    <w:rsid w:val="00CC2CC0"/>
    <w:rsid w:val="00CC417C"/>
    <w:rsid w:val="00CC5ABD"/>
    <w:rsid w:val="00CD09C3"/>
    <w:rsid w:val="00CF13DB"/>
    <w:rsid w:val="00D153B8"/>
    <w:rsid w:val="00D21777"/>
    <w:rsid w:val="00D45987"/>
    <w:rsid w:val="00DC0369"/>
    <w:rsid w:val="00DD21F9"/>
    <w:rsid w:val="00DE0A14"/>
    <w:rsid w:val="00E06AB9"/>
    <w:rsid w:val="00E165AD"/>
    <w:rsid w:val="00E26150"/>
    <w:rsid w:val="00E35A89"/>
    <w:rsid w:val="00E37584"/>
    <w:rsid w:val="00E44E83"/>
    <w:rsid w:val="00E63F70"/>
    <w:rsid w:val="00E81B19"/>
    <w:rsid w:val="00E97E1F"/>
    <w:rsid w:val="00ED21B1"/>
    <w:rsid w:val="00EF121D"/>
    <w:rsid w:val="00F31673"/>
    <w:rsid w:val="00F57F3A"/>
    <w:rsid w:val="00F65475"/>
    <w:rsid w:val="00F85CE2"/>
    <w:rsid w:val="00F87C1F"/>
    <w:rsid w:val="00FB7284"/>
    <w:rsid w:val="00FC793D"/>
    <w:rsid w:val="00FE7ECD"/>
    <w:rsid w:val="00FF52B1"/>
    <w:rsid w:val="3673DAE3"/>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0"/>
    <w:semiHidden/>
    <w:unhideWhenUsed/>
    <w:qFormat/>
    <w:uiPriority w:val="99"/>
    <w:pPr>
      <w:snapToGrid w:val="0"/>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ndnote reference"/>
    <w:semiHidden/>
    <w:unhideWhenUsed/>
    <w:qFormat/>
    <w:uiPriority w:val="99"/>
    <w:rPr>
      <w:vertAlign w:val="superscript"/>
    </w:rPr>
  </w:style>
  <w:style w:type="character" w:customStyle="1" w:styleId="10">
    <w:name w:val="尾注文本 Char"/>
    <w:basedOn w:val="8"/>
    <w:link w:val="2"/>
    <w:semiHidden/>
    <w:qFormat/>
    <w:uiPriority w:val="99"/>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character" w:customStyle="1" w:styleId="13">
    <w:name w:val="批注框文本 Char"/>
    <w:basedOn w:val="8"/>
    <w:link w:val="3"/>
    <w:semiHidden/>
    <w:qFormat/>
    <w:uiPriority w:val="99"/>
    <w:rPr>
      <w:kern w:val="2"/>
      <w:sz w:val="18"/>
      <w:szCs w:val="18"/>
      <w:lang w:val="en-U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745</Characters>
  <Lines>6</Lines>
  <Paragraphs>1</Paragraphs>
  <TotalTime>23</TotalTime>
  <ScaleCrop>false</ScaleCrop>
  <LinksUpToDate>false</LinksUpToDate>
  <CharactersWithSpaces>874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2021-06-08T12:23:00Z</dcterms:created>
  <dc:creator>dell</dc:creator>
  <cp:lastModifiedBy>greatwall</cp:lastModifiedBy>
  <cp:lastPrinted>2014-10-08T10:48:00Z</cp:lastPrinted>
  <dcterms:modified xsi:type="dcterms:W3CDTF">2021-09-29T18:09:40Z</dcterms:modified>
  <dc:title>经营者集中简易案件公示表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10023572</vt:lpwstr>
  </property>
  <property fmtid="{D5CDD505-2E9C-101B-9397-08002B2CF9AE}" pid="3" name="DEDocumentLocation">
    <vt:lpwstr>C:\Users\lvzhou\AppData\Local\Linklaters\DocExplorer\Attachments\A41104241 v0.2 简易案件公示表 - LL comments.docx</vt:lpwstr>
  </property>
  <property fmtid="{D5CDD505-2E9C-101B-9397-08002B2CF9AE}" pid="4" name="Document Number">
    <vt:lpwstr>A41104241</vt:lpwstr>
  </property>
  <property fmtid="{D5CDD505-2E9C-101B-9397-08002B2CF9AE}" pid="5" name="Last Modified">
    <vt:lpwstr>17 Feb 2020</vt:lpwstr>
  </property>
  <property fmtid="{D5CDD505-2E9C-101B-9397-08002B2CF9AE}" pid="6" name="Matter Number">
    <vt:lpwstr>L-247961</vt:lpwstr>
  </property>
  <property fmtid="{D5CDD505-2E9C-101B-9397-08002B2CF9AE}" pid="7" name="Mode">
    <vt:lpwstr>SendAs</vt:lpwstr>
  </property>
  <property fmtid="{D5CDD505-2E9C-101B-9397-08002B2CF9AE}" pid="8" name="Version">
    <vt:lpwstr>0.2</vt:lpwstr>
  </property>
  <property fmtid="{D5CDD505-2E9C-101B-9397-08002B2CF9AE}" pid="9" name="DOC_GUID">
    <vt:lpwstr>6d74f303-798f-4abd-8b3e-59dca91e53a7</vt:lpwstr>
  </property>
  <property fmtid="{D5CDD505-2E9C-101B-9397-08002B2CF9AE}" pid="10" name="ObjectID">
    <vt:lpwstr>09001dc89457df77</vt:lpwstr>
  </property>
  <property fmtid="{D5CDD505-2E9C-101B-9397-08002B2CF9AE}" pid="11" name="_MarkAsFinal">
    <vt:bool>false</vt:bool>
  </property>
  <property fmtid="{D5CDD505-2E9C-101B-9397-08002B2CF9AE}" pid="12" name="KSOProductBuildVer">
    <vt:lpwstr>2052-11.8.2.9695</vt:lpwstr>
  </property>
</Properties>
</file>