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630A" w14:textId="77777777" w:rsidR="00CB00DF" w:rsidRPr="008E7B8C" w:rsidRDefault="00CB00DF" w:rsidP="00CB00DF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 w:rsidRPr="00202C4C"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14:paraId="70255EB5" w14:textId="77777777" w:rsidR="00CB00DF" w:rsidRDefault="00CB00DF" w:rsidP="00CB00DF">
      <w:pPr>
        <w:spacing w:line="440" w:lineRule="exact"/>
        <w:rPr>
          <w:rFonts w:ascii="黑体" w:eastAsia="黑体" w:hAnsi="Times New Roman"/>
          <w:sz w:val="28"/>
          <w:szCs w:val="28"/>
        </w:rPr>
      </w:pPr>
    </w:p>
    <w:p w14:paraId="64AF2B0E" w14:textId="77777777" w:rsidR="00CB00DF" w:rsidRPr="00BA1596" w:rsidRDefault="00CB00DF" w:rsidP="00CB00DF">
      <w:pPr>
        <w:spacing w:line="440" w:lineRule="exact"/>
        <w:ind w:firstLineChars="302" w:firstLine="846"/>
        <w:rPr>
          <w:rFonts w:ascii="仿宋_GB2312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61"/>
        <w:gridCol w:w="5888"/>
      </w:tblGrid>
      <w:tr w:rsidR="00CB00DF" w:rsidRPr="00CB00DF" w14:paraId="412B8898" w14:textId="77777777" w:rsidTr="00CB00DF">
        <w:tc>
          <w:tcPr>
            <w:tcW w:w="1809" w:type="dxa"/>
            <w:shd w:val="clear" w:color="auto" w:fill="D9D9D9"/>
            <w:vAlign w:val="center"/>
          </w:tcPr>
          <w:p w14:paraId="2F13A81B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2024DC7E" w14:textId="6265FAC3" w:rsidR="00CB00DF" w:rsidRPr="00CB00DF" w:rsidRDefault="004D5F05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Pr="004D5F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穆勒控股股份公司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收购N</w:t>
            </w:r>
            <w:r w:rsidRPr="004D5F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CS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国际股份公司股权案</w:t>
            </w:r>
          </w:p>
        </w:tc>
      </w:tr>
      <w:tr w:rsidR="00CB00DF" w:rsidRPr="00CB00DF" w14:paraId="276C061C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3E23F940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051DD16A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63F775B8" w14:textId="4CE9546A" w:rsidR="00CB00DF" w:rsidRPr="00CB00DF" w:rsidRDefault="004D5F05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Pr="004D5F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穆勒控股股份公司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（简称“</w:t>
            </w:r>
            <w:r w:rsidRPr="000B296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APMH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通过其100%</w:t>
            </w:r>
            <w:r w:rsidR="00166E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持股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的子公司APMH Invest XVII </w:t>
            </w:r>
            <w:proofErr w:type="spellStart"/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ApS</w:t>
            </w:r>
            <w:proofErr w:type="spellEnd"/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从K. Nissen International A/S收购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N</w:t>
            </w:r>
            <w:r w:rsidRPr="004D5F05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CS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国际股份公司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（简称“</w:t>
            </w:r>
            <w:r w:rsidRPr="000B2963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NCS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的100%股份。这项交易完成后，</w:t>
            </w:r>
            <w:r w:rsidR="00B7769A"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APMH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</w:t>
            </w:r>
            <w:r w:rsidR="0047003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间接</w:t>
            </w:r>
            <w:r w:rsidR="00B7769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持有NCS</w:t>
            </w:r>
            <w:r w:rsidR="00E62A5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100%</w:t>
            </w:r>
            <w:r w:rsidR="00B7769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股份</w:t>
            </w:r>
            <w:r w:rsidRPr="004D5F0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并完全控制。</w:t>
            </w:r>
          </w:p>
        </w:tc>
      </w:tr>
      <w:tr w:rsidR="003F2211" w:rsidRPr="00CB00DF" w14:paraId="3B452168" w14:textId="77777777" w:rsidTr="003F2211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6333A15" w14:textId="77777777" w:rsidR="00F1624E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264836A2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061" w:type="dxa"/>
          </w:tcPr>
          <w:p w14:paraId="3B64BA32" w14:textId="305EACF2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="00E959D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PMH</w:t>
            </w:r>
          </w:p>
        </w:tc>
        <w:tc>
          <w:tcPr>
            <w:tcW w:w="5888" w:type="dxa"/>
          </w:tcPr>
          <w:p w14:paraId="2247E5BC" w14:textId="51358677" w:rsidR="00CB00DF" w:rsidRPr="00CB00DF" w:rsidRDefault="00E959DA" w:rsidP="00214B1E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APMH</w:t>
            </w:r>
            <w:r w:rsidR="009C71C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于2013年</w:t>
            </w:r>
            <w:r w:rsidR="00F55BEF" w:rsidRP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12月20日</w:t>
            </w:r>
            <w:r w:rsidR="009C71C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成立，</w:t>
            </w:r>
            <w:r w:rsidR="0095394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</w:t>
            </w:r>
            <w:r w:rsidR="001E477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地为</w:t>
            </w:r>
            <w:r w:rsidR="0095394E"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丹麦哥本哈根</w:t>
            </w:r>
            <w:r w:rsidR="0095394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</w:t>
            </w:r>
            <w:r w:rsidR="00D10EA8">
              <w:rPr>
                <w:rFonts w:ascii="仿宋" w:eastAsia="仿宋" w:hAnsi="仿宋" w:cs="宋体"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AP</w:t>
            </w:r>
            <w:r w:rsidR="00413303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穆勒集团</w:t>
            </w:r>
            <w:r w:rsidR="00F55BEF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val="en-GB"/>
              </w:rPr>
              <w:t>的控股</w:t>
            </w: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公司。</w:t>
            </w:r>
            <w:r w:rsidRPr="007A6EE1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APMH</w:t>
            </w:r>
            <w:r w:rsidR="008267E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通过其</w:t>
            </w:r>
            <w:r w:rsidR="00691E3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控股的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上市公司马士基</w:t>
            </w:r>
            <w:r w:rsidR="00CA6EE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="00691E3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开展</w:t>
            </w:r>
            <w:r w:rsidR="00691E36" w:rsidRPr="00691E3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集装箱班轮运输、集装箱码头服务</w:t>
            </w:r>
            <w:r w:rsidR="00285A7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、内陆联运、内陆服务、供应链管理服务、港口拖轮、</w:t>
            </w:r>
            <w:r w:rsidR="0045581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冷藏集装箱制造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；此外A</w:t>
            </w:r>
            <w:bookmarkStart w:id="0" w:name="_GoBack"/>
            <w:bookmarkEnd w:id="0"/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PMH还通过其直接或间接投资的</w:t>
            </w:r>
            <w:r w:rsidR="00956A2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子公司从事与马士基</w:t>
            </w:r>
            <w:r w:rsidR="00F55BEF" w:rsidRP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无关的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r w:rsidR="00F55BEF" w:rsidRP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投资活动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，例如</w:t>
            </w:r>
            <w:r w:rsidR="0057657F" w:rsidRPr="00C14CF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钻探</w:t>
            </w:r>
            <w:r w:rsidR="00DD7EE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服务</w:t>
            </w:r>
            <w:r w:rsidRPr="007A6EE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15274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风力发电</w:t>
            </w:r>
            <w:r w:rsidR="00431B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机</w:t>
            </w:r>
            <w:r w:rsidR="0015274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控制和监控系统</w:t>
            </w:r>
            <w:r w:rsidR="00214B1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生产和销售</w:t>
            </w:r>
            <w:r w:rsidRPr="007A6EE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金融行业投资、私募股权基金投资</w:t>
            </w:r>
            <w:r w:rsidRPr="007A6EE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以及</w:t>
            </w:r>
            <w:r w:rsidR="00F55BEF" w:rsidRPr="00F55BE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固定收益和证券的金融投资</w:t>
            </w:r>
            <w:r w:rsidR="0025712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业务活动</w:t>
            </w:r>
            <w:r w:rsidRPr="007A6EE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3F2211" w:rsidRPr="00CB00DF" w14:paraId="18B16E44" w14:textId="77777777" w:rsidTr="003F2211">
        <w:trPr>
          <w:trHeight w:val="1010"/>
        </w:trPr>
        <w:tc>
          <w:tcPr>
            <w:tcW w:w="1809" w:type="dxa"/>
            <w:vMerge/>
            <w:shd w:val="clear" w:color="auto" w:fill="D9D9D9"/>
            <w:vAlign w:val="center"/>
          </w:tcPr>
          <w:p w14:paraId="661F70E4" w14:textId="77777777" w:rsidR="00E959DA" w:rsidRPr="00CB00DF" w:rsidRDefault="00E959DA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61" w:type="dxa"/>
          </w:tcPr>
          <w:p w14:paraId="5F3ABA0F" w14:textId="189A55CC" w:rsidR="00E959DA" w:rsidRPr="00CB00DF" w:rsidRDefault="00E959DA" w:rsidP="00E959DA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N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CS</w:t>
            </w:r>
          </w:p>
        </w:tc>
        <w:tc>
          <w:tcPr>
            <w:tcW w:w="5888" w:type="dxa"/>
          </w:tcPr>
          <w:p w14:paraId="6B00CC7B" w14:textId="0FB17947" w:rsidR="00E959DA" w:rsidRPr="00CB00DF" w:rsidRDefault="00E959D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NCS</w:t>
            </w:r>
            <w:r w:rsidR="0025712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于2018年</w:t>
            </w:r>
            <w:r w:rsidR="00431B13" w:rsidRPr="00431B1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9月21日</w:t>
            </w:r>
            <w:r w:rsidR="0025712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成立，</w:t>
            </w:r>
            <w:r w:rsidR="001E477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注册地为丹麦霍森斯市，</w:t>
            </w: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是一家为工业应用提供定制化冷却解决方案，</w:t>
            </w:r>
            <w:r w:rsidR="000B296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以及</w:t>
            </w: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为风力</w:t>
            </w:r>
            <w:r w:rsid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发电</w:t>
            </w: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行业应用提供冷却解决方案</w:t>
            </w:r>
            <w:r w:rsidR="007D379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的供应商</w:t>
            </w:r>
            <w:r w:rsidRPr="00E959D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CB00DF" w14:paraId="7090366D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30B3E45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01609065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□1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在同一相关市场，所有参与集中的经营者所占市场份额之和小于15%。</w:t>
            </w:r>
          </w:p>
        </w:tc>
      </w:tr>
      <w:tr w:rsidR="00CB00DF" w:rsidRPr="00CB00DF" w14:paraId="6DAE1A64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6784D53A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DF51185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存在上下游关系的参与集中的经营者，在上下游市场所占的市场份额均小于25%。</w:t>
            </w:r>
          </w:p>
        </w:tc>
      </w:tr>
      <w:tr w:rsidR="00CB00DF" w:rsidRPr="00CB00DF" w14:paraId="393CDA07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4B3770EE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28F42504" w14:textId="4B83AAEE" w:rsidR="00CB00DF" w:rsidRPr="00CB00DF" w:rsidRDefault="0067096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7096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="00CB00DF"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不在同一相关市场、也不存在上下游关系的参与集中的经营者，在与交易有关的每个市场所占的份额均小于25%。</w:t>
            </w:r>
          </w:p>
        </w:tc>
      </w:tr>
      <w:tr w:rsidR="00CB00DF" w:rsidRPr="00CB00DF" w14:paraId="70B25D49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6E8514A2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2757FBE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CB00DF" w14:paraId="4093C694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05B19B62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9A2AB56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CB00DF" w:rsidRPr="00CB00DF" w14:paraId="4BC205D1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0035E86C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2F2223BE" w14:textId="77777777" w:rsidR="00CB00DF" w:rsidRPr="00CB00DF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.</w:t>
            </w: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B00DF" w:rsidRPr="00CB00DF" w14:paraId="6889950C" w14:textId="77777777" w:rsidTr="00CB00DF">
        <w:tc>
          <w:tcPr>
            <w:tcW w:w="1809" w:type="dxa"/>
            <w:shd w:val="clear" w:color="auto" w:fill="D9D9D9"/>
            <w:vAlign w:val="center"/>
          </w:tcPr>
          <w:p w14:paraId="6D660A53" w14:textId="77777777" w:rsidR="00CB00DF" w:rsidRPr="00CB00DF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CB00D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22DE07DA" w14:textId="246C01B1" w:rsidR="00FB12AA" w:rsidRDefault="00FB12A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相关商品市场</w:t>
            </w: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p w14:paraId="5D4FBA8F" w14:textId="77777777" w:rsidR="0021391F" w:rsidRDefault="00FB12AA" w:rsidP="00FB12AA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风力发电冷却系统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市场、</w:t>
            </w:r>
          </w:p>
          <w:p w14:paraId="1A28D0C4" w14:textId="56B4E494" w:rsidR="00FB12AA" w:rsidRDefault="00FB12AA" w:rsidP="00FB12AA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风力发电机控制和监</w:t>
            </w:r>
            <w:r w:rsidR="007D379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</w:t>
            </w: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系统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市场。</w:t>
            </w:r>
          </w:p>
          <w:p w14:paraId="05975702" w14:textId="77777777" w:rsidR="00FB12AA" w:rsidRPr="00FB12AA" w:rsidRDefault="00FB12AA" w:rsidP="00FB12AA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69FC3EC0" w14:textId="76DBD4D6" w:rsidR="00FB12AA" w:rsidRDefault="00FB12A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相关</w:t>
            </w: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地域市场</w:t>
            </w: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：中国</w:t>
            </w:r>
            <w:r w:rsidR="00293DE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境内</w:t>
            </w:r>
          </w:p>
          <w:p w14:paraId="65A242A3" w14:textId="77777777" w:rsidR="00FB12AA" w:rsidRDefault="00FB12A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330AC153" w14:textId="042A689F" w:rsidR="00CB00DF" w:rsidRDefault="0067096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市场份额</w:t>
            </w:r>
            <w:r w:rsidR="00FB12A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9"/>
              <w:gridCol w:w="2239"/>
              <w:gridCol w:w="2240"/>
            </w:tblGrid>
            <w:tr w:rsidR="00FB12AA" w:rsidRPr="00FB12AA" w14:paraId="6EB723EB" w14:textId="77777777" w:rsidTr="00FB12AA">
              <w:tc>
                <w:tcPr>
                  <w:tcW w:w="2239" w:type="dxa"/>
                </w:tcPr>
                <w:p w14:paraId="34477464" w14:textId="1BE3090E" w:rsidR="00FB12AA" w:rsidRPr="00FB12AA" w:rsidRDefault="00FB12AA" w:rsidP="00FB12AA">
                  <w:pPr>
                    <w:rPr>
                      <w:rFonts w:ascii="Times New Roman" w:eastAsia="仿宋" w:hAnsi="Times New Roman" w:cs="宋体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FB12AA">
                    <w:rPr>
                      <w:rFonts w:ascii="Times New Roman" w:eastAsia="仿宋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市场份额</w:t>
                  </w:r>
                </w:p>
              </w:tc>
              <w:tc>
                <w:tcPr>
                  <w:tcW w:w="2239" w:type="dxa"/>
                </w:tcPr>
                <w:p w14:paraId="3448E56A" w14:textId="398ADDFF" w:rsidR="00FB12AA" w:rsidRPr="00FB12AA" w:rsidRDefault="00FB12AA" w:rsidP="00FB12AA">
                  <w:pPr>
                    <w:rPr>
                      <w:rFonts w:ascii="Times New Roman" w:eastAsia="仿宋" w:hAnsi="Times New Roman" w:cs="宋体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FB12AA">
                    <w:rPr>
                      <w:rFonts w:ascii="Times New Roman" w:eastAsia="仿宋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A</w:t>
                  </w:r>
                  <w:r w:rsidRPr="00FB12AA">
                    <w:rPr>
                      <w:rFonts w:ascii="Times New Roman" w:eastAsia="仿宋" w:hAnsi="Times New Roman" w:cs="宋体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PMH</w:t>
                  </w:r>
                </w:p>
              </w:tc>
              <w:tc>
                <w:tcPr>
                  <w:tcW w:w="2240" w:type="dxa"/>
                </w:tcPr>
                <w:p w14:paraId="6B95D91D" w14:textId="2DB65FBF" w:rsidR="00FB12AA" w:rsidRPr="00FB12AA" w:rsidRDefault="00FB12AA" w:rsidP="00FB12AA">
                  <w:pPr>
                    <w:rPr>
                      <w:rFonts w:ascii="Times New Roman" w:eastAsia="仿宋" w:hAnsi="Times New Roman" w:cs="宋体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FB12AA">
                    <w:rPr>
                      <w:rFonts w:ascii="Times New Roman" w:eastAsia="仿宋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N</w:t>
                  </w:r>
                  <w:r w:rsidRPr="00FB12AA">
                    <w:rPr>
                      <w:rFonts w:ascii="Times New Roman" w:eastAsia="仿宋" w:hAnsi="Times New Roman" w:cs="宋体"/>
                      <w:b/>
                      <w:bCs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CS</w:t>
                  </w:r>
                </w:p>
              </w:tc>
            </w:tr>
            <w:tr w:rsidR="00FB12AA" w:rsidRPr="00FB12AA" w14:paraId="0F5FFC8F" w14:textId="77777777" w:rsidTr="00FB12AA">
              <w:tc>
                <w:tcPr>
                  <w:tcW w:w="2239" w:type="dxa"/>
                </w:tcPr>
                <w:p w14:paraId="02E9EE47" w14:textId="4016C189" w:rsidR="00FB12AA" w:rsidRPr="00FB12AA" w:rsidRDefault="0052683C" w:rsidP="00FB12AA">
                  <w:pPr>
                    <w:rPr>
                      <w:rFonts w:ascii="Times New Roman" w:eastAsia="仿宋" w:hAnsi="Times New Roman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eastAsia="仿宋" w:hAnsi="Times New Roman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中国</w:t>
                  </w:r>
                  <w:r w:rsidR="00FB12AA" w:rsidRPr="00FB12AA">
                    <w:rPr>
                      <w:rFonts w:ascii="Times New Roman" w:eastAsia="仿宋" w:hAnsi="Times New Roman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风力发电冷却系统市场</w:t>
                  </w:r>
                </w:p>
              </w:tc>
              <w:tc>
                <w:tcPr>
                  <w:tcW w:w="2239" w:type="dxa"/>
                </w:tcPr>
                <w:p w14:paraId="6366CFAA" w14:textId="33848581" w:rsidR="00FB12AA" w:rsidRPr="00FB12AA" w:rsidRDefault="00FB12AA" w:rsidP="00FB12AA">
                  <w:pPr>
                    <w:rPr>
                      <w:rFonts w:ascii="Times New Roman" w:eastAsia="仿宋" w:hAnsi="Times New Roman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FB12AA">
                    <w:rPr>
                      <w:rFonts w:ascii="Times New Roman" w:hAnsi="Times New Roman"/>
                      <w:color w:val="000000"/>
                      <w:szCs w:val="21"/>
                    </w:rPr>
                    <w:t>0%</w:t>
                  </w:r>
                </w:p>
              </w:tc>
              <w:tc>
                <w:tcPr>
                  <w:tcW w:w="2240" w:type="dxa"/>
                </w:tcPr>
                <w:p w14:paraId="7A399D99" w14:textId="2C742B3D" w:rsidR="00FB12AA" w:rsidRPr="00FB12AA" w:rsidRDefault="00E00787" w:rsidP="00FB12AA">
                  <w:pPr>
                    <w:rPr>
                      <w:rFonts w:ascii="Times New Roman" w:eastAsia="仿宋" w:hAnsi="Times New Roman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szCs w:val="21"/>
                    </w:rPr>
                    <w:t>0-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5</w:t>
                  </w:r>
                  <w:r w:rsidR="00FB12AA" w:rsidRPr="00FB12AA">
                    <w:rPr>
                      <w:rFonts w:ascii="Times New Roman" w:hAnsi="Times New Roman"/>
                      <w:color w:val="000000"/>
                      <w:szCs w:val="21"/>
                    </w:rPr>
                    <w:t>%</w:t>
                  </w:r>
                </w:p>
              </w:tc>
            </w:tr>
            <w:tr w:rsidR="00AD2D85" w:rsidRPr="00FB12AA" w14:paraId="5DFE2F06" w14:textId="77777777" w:rsidTr="00FB12AA">
              <w:tc>
                <w:tcPr>
                  <w:tcW w:w="2239" w:type="dxa"/>
                </w:tcPr>
                <w:p w14:paraId="7068A4BB" w14:textId="6E2FEFBE" w:rsidR="00AD2D85" w:rsidRPr="00FB12AA" w:rsidRDefault="00AD2D85" w:rsidP="00FB12AA">
                  <w:pPr>
                    <w:rPr>
                      <w:rFonts w:ascii="Times New Roman" w:eastAsia="仿宋" w:hAnsi="Times New Roman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eastAsia="仿宋" w:hAnsi="Times New Roman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中国</w:t>
                  </w:r>
                  <w:r w:rsidRPr="00FB12AA">
                    <w:rPr>
                      <w:rFonts w:ascii="Times New Roman" w:eastAsia="仿宋" w:hAnsi="Times New Roman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风力发电机控制和监</w:t>
                  </w:r>
                  <w:r>
                    <w:rPr>
                      <w:rFonts w:ascii="Times New Roman" w:eastAsia="仿宋" w:hAnsi="Times New Roman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控</w:t>
                  </w:r>
                  <w:r w:rsidRPr="00FB12AA">
                    <w:rPr>
                      <w:rFonts w:ascii="Times New Roman" w:eastAsia="仿宋" w:hAnsi="Times New Roman" w:cs="宋体" w:hint="eastAsia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  <w:t>系统市场</w:t>
                  </w:r>
                </w:p>
              </w:tc>
              <w:tc>
                <w:tcPr>
                  <w:tcW w:w="2239" w:type="dxa"/>
                </w:tcPr>
                <w:p w14:paraId="79848F45" w14:textId="400D467E" w:rsidR="00AD2D85" w:rsidRPr="00FB12AA" w:rsidRDefault="00AD2D85" w:rsidP="00FB12AA">
                  <w:pPr>
                    <w:rPr>
                      <w:rFonts w:ascii="Times New Roman" w:eastAsia="仿宋" w:hAnsi="Times New Roman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FB12AA">
                    <w:rPr>
                      <w:rFonts w:ascii="Times New Roman" w:hAnsi="Times New Roman"/>
                      <w:color w:val="000000"/>
                      <w:szCs w:val="21"/>
                    </w:rPr>
                    <w:t>0-5%</w:t>
                  </w:r>
                </w:p>
              </w:tc>
              <w:tc>
                <w:tcPr>
                  <w:tcW w:w="2240" w:type="dxa"/>
                </w:tcPr>
                <w:p w14:paraId="6D793549" w14:textId="585638BF" w:rsidR="00AD2D85" w:rsidRPr="00FB12AA" w:rsidRDefault="00AD2D85" w:rsidP="00FB12AA">
                  <w:pPr>
                    <w:rPr>
                      <w:rFonts w:ascii="Times New Roman" w:eastAsia="仿宋" w:hAnsi="Times New Roman" w:cs="宋体"/>
                      <w:color w:val="333333"/>
                      <w:kern w:val="0"/>
                      <w:sz w:val="24"/>
                      <w:szCs w:val="24"/>
                      <w:bdr w:val="none" w:sz="0" w:space="0" w:color="auto" w:frame="1"/>
                    </w:rPr>
                  </w:pPr>
                  <w:r w:rsidRPr="00FB12AA">
                    <w:rPr>
                      <w:rFonts w:ascii="Times New Roman" w:hAnsi="Times New Roman"/>
                      <w:color w:val="000000"/>
                      <w:szCs w:val="21"/>
                    </w:rPr>
                    <w:t>0%</w:t>
                  </w:r>
                </w:p>
              </w:tc>
            </w:tr>
          </w:tbl>
          <w:p w14:paraId="7EA70577" w14:textId="43C9E2B3" w:rsidR="0067096A" w:rsidRPr="00CB00DF" w:rsidRDefault="0067096A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127E014" w14:textId="77777777" w:rsidR="00CB00DF" w:rsidRDefault="00CB00DF" w:rsidP="00CB00DF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</w:p>
    <w:p w14:paraId="75284ECB" w14:textId="77777777" w:rsidR="00CB00DF" w:rsidRDefault="00CB00DF" w:rsidP="00CB00DF"/>
    <w:p w14:paraId="2663B536" w14:textId="77777777" w:rsidR="000F5E24" w:rsidRPr="00CB00DF" w:rsidRDefault="0034662C"/>
    <w:sectPr w:rsidR="000F5E24" w:rsidRPr="00CB00D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B926" w14:textId="77777777" w:rsidR="0034662C" w:rsidRDefault="0034662C" w:rsidP="007C2593">
      <w:r>
        <w:separator/>
      </w:r>
    </w:p>
  </w:endnote>
  <w:endnote w:type="continuationSeparator" w:id="0">
    <w:p w14:paraId="6CC87404" w14:textId="77777777" w:rsidR="0034662C" w:rsidRDefault="0034662C" w:rsidP="007C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991A" w14:textId="77777777" w:rsidR="0034662C" w:rsidRDefault="0034662C" w:rsidP="007C2593">
      <w:r>
        <w:separator/>
      </w:r>
    </w:p>
  </w:footnote>
  <w:footnote w:type="continuationSeparator" w:id="0">
    <w:p w14:paraId="315630A7" w14:textId="77777777" w:rsidR="0034662C" w:rsidRDefault="0034662C" w:rsidP="007C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2E4D"/>
    <w:multiLevelType w:val="hybridMultilevel"/>
    <w:tmpl w:val="166ED0B4"/>
    <w:lvl w:ilvl="0" w:tplc="7F8C99BA">
      <w:start w:val="1"/>
      <w:numFmt w:val="lowerRoman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4236F"/>
    <w:rsid w:val="000529AF"/>
    <w:rsid w:val="000A1EF1"/>
    <w:rsid w:val="000B2963"/>
    <w:rsid w:val="000B38FA"/>
    <w:rsid w:val="000B60D7"/>
    <w:rsid w:val="000D7EBA"/>
    <w:rsid w:val="0010042E"/>
    <w:rsid w:val="001164CD"/>
    <w:rsid w:val="00123BB0"/>
    <w:rsid w:val="00152746"/>
    <w:rsid w:val="00155717"/>
    <w:rsid w:val="00166E68"/>
    <w:rsid w:val="001837A3"/>
    <w:rsid w:val="001951BE"/>
    <w:rsid w:val="001B20B4"/>
    <w:rsid w:val="001E205D"/>
    <w:rsid w:val="001E4778"/>
    <w:rsid w:val="0021391F"/>
    <w:rsid w:val="00214B1E"/>
    <w:rsid w:val="0023698F"/>
    <w:rsid w:val="00257120"/>
    <w:rsid w:val="00257E1E"/>
    <w:rsid w:val="0026506A"/>
    <w:rsid w:val="00285A78"/>
    <w:rsid w:val="00293DE9"/>
    <w:rsid w:val="0029758A"/>
    <w:rsid w:val="002C110A"/>
    <w:rsid w:val="002C1200"/>
    <w:rsid w:val="002E5100"/>
    <w:rsid w:val="002E6F9D"/>
    <w:rsid w:val="0034662C"/>
    <w:rsid w:val="00381E55"/>
    <w:rsid w:val="003C0AEB"/>
    <w:rsid w:val="003F2211"/>
    <w:rsid w:val="00413303"/>
    <w:rsid w:val="00431B13"/>
    <w:rsid w:val="00451059"/>
    <w:rsid w:val="00455819"/>
    <w:rsid w:val="0047003C"/>
    <w:rsid w:val="004910D9"/>
    <w:rsid w:val="00491AD8"/>
    <w:rsid w:val="004B78EE"/>
    <w:rsid w:val="004D351B"/>
    <w:rsid w:val="004D5F05"/>
    <w:rsid w:val="004D5F42"/>
    <w:rsid w:val="004F7688"/>
    <w:rsid w:val="0052683C"/>
    <w:rsid w:val="0057657F"/>
    <w:rsid w:val="005B344E"/>
    <w:rsid w:val="005C266E"/>
    <w:rsid w:val="005D38B2"/>
    <w:rsid w:val="005F32A6"/>
    <w:rsid w:val="0063444D"/>
    <w:rsid w:val="006467D8"/>
    <w:rsid w:val="0067096A"/>
    <w:rsid w:val="006714B2"/>
    <w:rsid w:val="00691E36"/>
    <w:rsid w:val="006A531B"/>
    <w:rsid w:val="006B2884"/>
    <w:rsid w:val="006F7693"/>
    <w:rsid w:val="007023A2"/>
    <w:rsid w:val="00710140"/>
    <w:rsid w:val="00771C48"/>
    <w:rsid w:val="00786875"/>
    <w:rsid w:val="007A6EE1"/>
    <w:rsid w:val="007C2593"/>
    <w:rsid w:val="007D2244"/>
    <w:rsid w:val="007D3796"/>
    <w:rsid w:val="007D3E17"/>
    <w:rsid w:val="007F2275"/>
    <w:rsid w:val="00824FDE"/>
    <w:rsid w:val="008267ED"/>
    <w:rsid w:val="00864E5C"/>
    <w:rsid w:val="008B7E0A"/>
    <w:rsid w:val="00915F0F"/>
    <w:rsid w:val="009532DF"/>
    <w:rsid w:val="0095394E"/>
    <w:rsid w:val="00956A25"/>
    <w:rsid w:val="009771A2"/>
    <w:rsid w:val="00997019"/>
    <w:rsid w:val="009A5029"/>
    <w:rsid w:val="009C71C0"/>
    <w:rsid w:val="009D38D5"/>
    <w:rsid w:val="00A4181F"/>
    <w:rsid w:val="00A53F26"/>
    <w:rsid w:val="00AA0CC5"/>
    <w:rsid w:val="00AD2D85"/>
    <w:rsid w:val="00B16AFE"/>
    <w:rsid w:val="00B22907"/>
    <w:rsid w:val="00B257CF"/>
    <w:rsid w:val="00B55C6A"/>
    <w:rsid w:val="00B567E8"/>
    <w:rsid w:val="00B65DD5"/>
    <w:rsid w:val="00B7769A"/>
    <w:rsid w:val="00BA575B"/>
    <w:rsid w:val="00BC0C23"/>
    <w:rsid w:val="00BC3FCB"/>
    <w:rsid w:val="00BD10B6"/>
    <w:rsid w:val="00C07076"/>
    <w:rsid w:val="00C07A4A"/>
    <w:rsid w:val="00C14CF0"/>
    <w:rsid w:val="00C15961"/>
    <w:rsid w:val="00C16EC5"/>
    <w:rsid w:val="00C92729"/>
    <w:rsid w:val="00CA6EE5"/>
    <w:rsid w:val="00CB00DF"/>
    <w:rsid w:val="00D10EA8"/>
    <w:rsid w:val="00D73254"/>
    <w:rsid w:val="00D73C72"/>
    <w:rsid w:val="00D903E5"/>
    <w:rsid w:val="00DA5767"/>
    <w:rsid w:val="00DD7EE0"/>
    <w:rsid w:val="00DE1B81"/>
    <w:rsid w:val="00DE5211"/>
    <w:rsid w:val="00E00787"/>
    <w:rsid w:val="00E0592B"/>
    <w:rsid w:val="00E31738"/>
    <w:rsid w:val="00E62A53"/>
    <w:rsid w:val="00E674CC"/>
    <w:rsid w:val="00E86786"/>
    <w:rsid w:val="00E959DA"/>
    <w:rsid w:val="00E97376"/>
    <w:rsid w:val="00EA61D9"/>
    <w:rsid w:val="00ED2F80"/>
    <w:rsid w:val="00EE115F"/>
    <w:rsid w:val="00F1002C"/>
    <w:rsid w:val="00F1624E"/>
    <w:rsid w:val="00F32F8A"/>
    <w:rsid w:val="00F55BEF"/>
    <w:rsid w:val="00F810AA"/>
    <w:rsid w:val="00FB12AA"/>
    <w:rsid w:val="00FB43EC"/>
    <w:rsid w:val="00FB6B40"/>
    <w:rsid w:val="00FD211A"/>
    <w:rsid w:val="00FE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29F8"/>
  <w15:docId w15:val="{68A30D70-9B8F-46FB-89CB-5F95170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2593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2593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39"/>
    <w:unhideWhenUsed/>
    <w:rsid w:val="00FB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B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JMP</cp:lastModifiedBy>
  <cp:revision>4</cp:revision>
  <dcterms:created xsi:type="dcterms:W3CDTF">2021-09-26T03:27:00Z</dcterms:created>
  <dcterms:modified xsi:type="dcterms:W3CDTF">2021-09-26T03:40:00Z</dcterms:modified>
</cp:coreProperties>
</file>