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4EB00" w14:textId="77777777" w:rsidR="00143EBB" w:rsidRPr="006024A4" w:rsidRDefault="00800C3E" w:rsidP="00773E9E">
      <w:pPr>
        <w:spacing w:line="440" w:lineRule="exact"/>
        <w:jc w:val="center"/>
        <w:rPr>
          <w:rFonts w:ascii="Times New Roman" w:eastAsia="仿宋_GB2312" w:hAnsi="Times New Roman"/>
          <w:b/>
          <w:sz w:val="24"/>
          <w:szCs w:val="24"/>
        </w:rPr>
      </w:pPr>
      <w:bookmarkStart w:id="0" w:name="_GoBack"/>
      <w:bookmarkEnd w:id="0"/>
      <w:r w:rsidRPr="006024A4">
        <w:rPr>
          <w:rFonts w:ascii="Times New Roman" w:eastAsia="仿宋_GB2312" w:hAnsi="Times New Roman"/>
          <w:b/>
          <w:sz w:val="24"/>
          <w:szCs w:val="24"/>
        </w:rPr>
        <w:t>经营者集中简易案件公示表</w:t>
      </w:r>
    </w:p>
    <w:p w14:paraId="16E8413C" w14:textId="593E2860" w:rsidR="00143EBB" w:rsidRPr="006024A4" w:rsidRDefault="00143EBB">
      <w:pPr>
        <w:spacing w:line="440" w:lineRule="exact"/>
        <w:rPr>
          <w:rFonts w:ascii="Times New Roman" w:eastAsia="仿宋_GB2312" w:hAnsi="Times New Roman"/>
          <w:sz w:val="24"/>
          <w:szCs w:val="24"/>
        </w:rPr>
      </w:pP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96"/>
        <w:gridCol w:w="5153"/>
      </w:tblGrid>
      <w:tr w:rsidR="00E817BF" w:rsidRPr="00B404C4" w14:paraId="13B66683" w14:textId="77777777" w:rsidTr="00FD4E6D">
        <w:trPr>
          <w:jc w:val="center"/>
        </w:trPr>
        <w:tc>
          <w:tcPr>
            <w:tcW w:w="1809" w:type="dxa"/>
            <w:shd w:val="clear" w:color="auto" w:fill="D9D9D9"/>
            <w:vAlign w:val="center"/>
          </w:tcPr>
          <w:p w14:paraId="671B534A" w14:textId="77777777" w:rsidR="00143EBB" w:rsidRPr="00B404C4" w:rsidRDefault="00800C3E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B404C4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案件名称</w:t>
            </w:r>
          </w:p>
        </w:tc>
        <w:tc>
          <w:tcPr>
            <w:tcW w:w="6949" w:type="dxa"/>
            <w:gridSpan w:val="2"/>
            <w:vAlign w:val="center"/>
          </w:tcPr>
          <w:p w14:paraId="1E573C70" w14:textId="1CE6101F" w:rsidR="00143EBB" w:rsidRPr="00B404C4" w:rsidRDefault="00334943" w:rsidP="00E817BF">
            <w:pPr>
              <w:spacing w:line="5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华润酒业控股有限公司与</w:t>
            </w:r>
            <w:r w:rsidR="00A67796" w:rsidRPr="00A67796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嘉兴鼎晖</w:t>
            </w:r>
            <w:proofErr w:type="gramStart"/>
            <w:r w:rsidR="00A67796" w:rsidRPr="00A67796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樽珂</w:t>
            </w:r>
            <w:proofErr w:type="gramEnd"/>
            <w:r w:rsidR="00A67796" w:rsidRPr="00A67796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股权投资合伙企业（有限合伙）</w:t>
            </w:r>
            <w:r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收购山东景芝白酒有限公司股权案</w:t>
            </w:r>
            <w:r w:rsidR="00CA7A84"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 w:rsidR="00CA7A84"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“</w:t>
            </w:r>
            <w:r w:rsidR="00CA7A84" w:rsidRPr="00B404C4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本次交易</w:t>
            </w:r>
            <w:r w:rsidR="00CA7A84"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”</w:t>
            </w:r>
            <w:r w:rsidR="00CA7A84"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</w:tr>
      <w:tr w:rsidR="00E817BF" w:rsidRPr="00B404C4" w14:paraId="645AAB33" w14:textId="77777777" w:rsidTr="00FD4E6D">
        <w:trPr>
          <w:trHeight w:val="993"/>
          <w:jc w:val="center"/>
        </w:trPr>
        <w:tc>
          <w:tcPr>
            <w:tcW w:w="1809" w:type="dxa"/>
            <w:shd w:val="clear" w:color="auto" w:fill="D9D9D9"/>
            <w:vAlign w:val="center"/>
          </w:tcPr>
          <w:p w14:paraId="5787708D" w14:textId="77777777" w:rsidR="00143EBB" w:rsidRPr="00B404C4" w:rsidRDefault="00800C3E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B404C4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交易概况</w:t>
            </w:r>
          </w:p>
          <w:p w14:paraId="01F5BD93" w14:textId="77777777" w:rsidR="00143EBB" w:rsidRPr="00B404C4" w:rsidRDefault="00800C3E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B404C4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（限</w:t>
            </w:r>
            <w:r w:rsidRPr="00B404C4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200</w:t>
            </w:r>
            <w:r w:rsidRPr="00B404C4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字内）</w:t>
            </w:r>
          </w:p>
        </w:tc>
        <w:tc>
          <w:tcPr>
            <w:tcW w:w="6949" w:type="dxa"/>
            <w:gridSpan w:val="2"/>
          </w:tcPr>
          <w:p w14:paraId="78905526" w14:textId="41053CD2" w:rsidR="00334943" w:rsidRPr="00B404C4" w:rsidRDefault="00334943" w:rsidP="00334943">
            <w:pPr>
              <w:spacing w:line="5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本次交易中，华润酒业控股有限公司（</w:t>
            </w:r>
            <w:r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“</w:t>
            </w:r>
            <w:r w:rsidRPr="00B404C4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华润酒业</w:t>
            </w:r>
            <w:r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”</w:t>
            </w:r>
            <w:r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）与</w:t>
            </w:r>
            <w:r w:rsidR="00A67796" w:rsidRPr="00A67796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嘉兴鼎晖</w:t>
            </w:r>
            <w:proofErr w:type="gramStart"/>
            <w:r w:rsidR="00A67796" w:rsidRPr="00A67796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樽珂</w:t>
            </w:r>
            <w:proofErr w:type="gramEnd"/>
            <w:r w:rsidR="00A67796" w:rsidRPr="00A67796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股权投资合伙企业（有限合伙）</w:t>
            </w:r>
            <w:r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</w:t>
            </w:r>
            <w:r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“</w:t>
            </w:r>
            <w:r w:rsidRPr="00B404C4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鼎晖投资</w:t>
            </w:r>
            <w:r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”</w:t>
            </w:r>
            <w:r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）拟通过增资方式收购</w:t>
            </w:r>
            <w:r w:rsidR="00666E66"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山东景芝酒业股份有限公司（</w:t>
            </w:r>
            <w:r w:rsidR="00666E66"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“</w:t>
            </w:r>
            <w:r w:rsidR="00666E66" w:rsidRPr="00B404C4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景芝酒业</w:t>
            </w:r>
            <w:r w:rsidR="00666E66"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”</w:t>
            </w:r>
            <w:r w:rsidR="00666E66"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  <w:r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的全资子公司</w:t>
            </w:r>
            <w:r w:rsidR="00666E66"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山东景芝白酒有限公司（</w:t>
            </w:r>
            <w:r w:rsidR="00666E66"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“</w:t>
            </w:r>
            <w:r w:rsidRPr="00B404C4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景芝白酒</w:t>
            </w:r>
            <w:r w:rsidR="00666E66"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”</w:t>
            </w:r>
            <w:r w:rsidR="00666E66"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  <w:r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合计</w:t>
            </w:r>
            <w:r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60%</w:t>
            </w:r>
            <w:r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的股权。</w:t>
            </w:r>
          </w:p>
          <w:p w14:paraId="541F9BEC" w14:textId="77777777" w:rsidR="00334943" w:rsidRPr="00B404C4" w:rsidRDefault="00334943" w:rsidP="00334943">
            <w:pPr>
              <w:spacing w:line="5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3A6F8C00" w14:textId="5EB992F3" w:rsidR="00CA7A84" w:rsidRPr="00B404C4" w:rsidRDefault="00334943" w:rsidP="00847180">
            <w:pPr>
              <w:spacing w:line="5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本次交易前，景芝酒业持有景芝白酒</w:t>
            </w:r>
            <w:r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100%</w:t>
            </w:r>
            <w:r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的股权。交易完成后，华润酒业将持有景芝白酒</w:t>
            </w:r>
            <w:r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40%</w:t>
            </w:r>
            <w:r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的股权，</w:t>
            </w:r>
            <w:proofErr w:type="gramStart"/>
            <w:r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鼎晖投资</w:t>
            </w:r>
            <w:proofErr w:type="gramEnd"/>
            <w:r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将持有景芝白酒</w:t>
            </w:r>
            <w:r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20%</w:t>
            </w:r>
            <w:r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的股权，景芝酒业将持有景芝白酒其余</w:t>
            </w:r>
            <w:r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40%</w:t>
            </w:r>
            <w:r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的股权，华润酒业、景芝酒业</w:t>
            </w:r>
            <w:r w:rsidR="00847180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与</w:t>
            </w:r>
            <w:proofErr w:type="gramStart"/>
            <w:r w:rsidR="00847180"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鼎晖投资</w:t>
            </w:r>
            <w:proofErr w:type="gramEnd"/>
            <w:r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在反垄断法下将共同控制景芝白酒。</w:t>
            </w:r>
          </w:p>
        </w:tc>
      </w:tr>
      <w:tr w:rsidR="00091EAA" w:rsidRPr="00B404C4" w14:paraId="4B4C85F6" w14:textId="77777777" w:rsidTr="00FD4E6D">
        <w:trPr>
          <w:trHeight w:val="468"/>
          <w:jc w:val="center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14:paraId="05669D25" w14:textId="77777777" w:rsidR="00091EAA" w:rsidRPr="00B404C4" w:rsidRDefault="00091EAA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B404C4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参与集中的</w:t>
            </w:r>
          </w:p>
          <w:p w14:paraId="4CA75135" w14:textId="77777777" w:rsidR="00091EAA" w:rsidRPr="00B404C4" w:rsidRDefault="00091EAA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B404C4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经营者简介</w:t>
            </w:r>
          </w:p>
        </w:tc>
        <w:tc>
          <w:tcPr>
            <w:tcW w:w="1796" w:type="dxa"/>
          </w:tcPr>
          <w:p w14:paraId="49E34402" w14:textId="26F03089" w:rsidR="00091EAA" w:rsidRPr="00B404C4" w:rsidRDefault="00091EAA" w:rsidP="00B404C4">
            <w:pPr>
              <w:spacing w:line="5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  <w:r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、</w:t>
            </w:r>
            <w:r w:rsidR="007F33A5"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华润酒业</w:t>
            </w:r>
          </w:p>
        </w:tc>
        <w:tc>
          <w:tcPr>
            <w:tcW w:w="5153" w:type="dxa"/>
          </w:tcPr>
          <w:p w14:paraId="339DE44F" w14:textId="47A32760" w:rsidR="00091EAA" w:rsidRPr="00B404C4" w:rsidRDefault="00920546" w:rsidP="00B404C4">
            <w:pPr>
              <w:spacing w:line="5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华润酒业</w:t>
            </w:r>
            <w:r w:rsidR="00100A6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成立于</w:t>
            </w:r>
            <w:r w:rsidR="004D113C" w:rsidRPr="004D113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2020</w:t>
            </w:r>
            <w:r w:rsidR="004D113C" w:rsidRPr="004D113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年</w:t>
            </w:r>
            <w:r w:rsidR="004D113C" w:rsidRPr="004D113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12</w:t>
            </w:r>
            <w:r w:rsidR="004D113C" w:rsidRPr="004D113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月</w:t>
            </w:r>
            <w:r w:rsidR="004D113C" w:rsidRPr="004D113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11</w:t>
            </w:r>
            <w:r w:rsidR="004D113C" w:rsidRPr="004D113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日</w:t>
            </w:r>
            <w:r w:rsidR="00100A6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，</w:t>
            </w:r>
            <w:r w:rsidR="004D113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注册地址</w:t>
            </w:r>
            <w:r w:rsidR="00100A6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为：</w:t>
            </w:r>
            <w:r w:rsidR="004D113C" w:rsidRPr="004D113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海南省海口市国家高新技术产业开发区美安科技新城一栋</w:t>
            </w:r>
            <w:r w:rsidR="004D113C" w:rsidRPr="004D113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A1-12</w:t>
            </w:r>
            <w:r w:rsidR="004D113C" w:rsidRPr="004D113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号</w:t>
            </w:r>
            <w:r w:rsidR="00100A6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。华润酒业</w:t>
            </w:r>
            <w:r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为</w:t>
            </w:r>
            <w:r w:rsidR="00E70C23"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华润雪花啤酒有限公司（</w:t>
            </w:r>
            <w:r w:rsidR="00E70C23"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“</w:t>
            </w:r>
            <w:r w:rsidRPr="00B404C4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华润雪花啤酒</w:t>
            </w:r>
            <w:r w:rsidR="00E70C23"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”</w:t>
            </w:r>
            <w:r w:rsidR="00E70C23"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  <w:r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的全资子公司。华润雪花啤酒主要从事啤酒产品的生产、销售业务。</w:t>
            </w:r>
          </w:p>
        </w:tc>
      </w:tr>
      <w:tr w:rsidR="00091EAA" w:rsidRPr="00B404C4" w14:paraId="28385CA9" w14:textId="77777777" w:rsidTr="00FD4E6D">
        <w:trPr>
          <w:trHeight w:val="404"/>
          <w:jc w:val="center"/>
        </w:trPr>
        <w:tc>
          <w:tcPr>
            <w:tcW w:w="1809" w:type="dxa"/>
            <w:vMerge/>
            <w:shd w:val="clear" w:color="auto" w:fill="D9D9D9"/>
            <w:vAlign w:val="center"/>
          </w:tcPr>
          <w:p w14:paraId="51BC1159" w14:textId="77777777" w:rsidR="00091EAA" w:rsidRPr="00B404C4" w:rsidRDefault="00091EAA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796" w:type="dxa"/>
          </w:tcPr>
          <w:p w14:paraId="36F25B26" w14:textId="0E847B73" w:rsidR="00091EAA" w:rsidRPr="00B404C4" w:rsidRDefault="00091EAA" w:rsidP="00B404C4">
            <w:pPr>
              <w:spacing w:line="5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、</w:t>
            </w:r>
            <w:proofErr w:type="gramStart"/>
            <w:r w:rsidR="007F33A5"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鼎晖投资</w:t>
            </w:r>
            <w:proofErr w:type="gramEnd"/>
          </w:p>
        </w:tc>
        <w:tc>
          <w:tcPr>
            <w:tcW w:w="5153" w:type="dxa"/>
          </w:tcPr>
          <w:p w14:paraId="43EAF7FC" w14:textId="59D751BF" w:rsidR="00A62A20" w:rsidRPr="00B404C4" w:rsidRDefault="00E70C23" w:rsidP="004D113C">
            <w:pPr>
              <w:spacing w:line="5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proofErr w:type="gramStart"/>
            <w:r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鼎晖投</w:t>
            </w:r>
            <w:r w:rsidRPr="0080318B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资</w:t>
            </w:r>
            <w:proofErr w:type="gramEnd"/>
            <w:r w:rsidR="00100A6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成立于</w:t>
            </w:r>
            <w:r w:rsidR="004D113C" w:rsidRPr="004D113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2021</w:t>
            </w:r>
            <w:r w:rsidR="004D113C" w:rsidRPr="004D113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年</w:t>
            </w:r>
            <w:r w:rsidR="004D113C" w:rsidRPr="004D113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7</w:t>
            </w:r>
            <w:r w:rsidR="004D113C" w:rsidRPr="004D113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月</w:t>
            </w:r>
            <w:r w:rsidR="004D113C" w:rsidRPr="004D113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14</w:t>
            </w:r>
            <w:r w:rsidR="004D113C" w:rsidRPr="004D113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日</w:t>
            </w:r>
            <w:r w:rsidR="00100A6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，注册</w:t>
            </w:r>
            <w:r w:rsidR="004D113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地址</w:t>
            </w:r>
            <w:r w:rsidR="00100A6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为</w:t>
            </w:r>
            <w:r w:rsidR="004D113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：</w:t>
            </w:r>
            <w:r w:rsidR="004D113C" w:rsidRPr="004D113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浙江省嘉兴市南湖区东栅街道南江路</w:t>
            </w:r>
            <w:r w:rsidR="004D113C" w:rsidRPr="004D113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1856</w:t>
            </w:r>
            <w:r w:rsidR="004D113C" w:rsidRPr="004D113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号基金小镇</w:t>
            </w:r>
            <w:r w:rsidR="004D113C" w:rsidRPr="004D113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</w:t>
            </w:r>
            <w:r w:rsidR="004D113C" w:rsidRPr="004D113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号楼</w:t>
            </w:r>
            <w:r w:rsidR="004D113C" w:rsidRPr="004D113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169</w:t>
            </w:r>
            <w:r w:rsidR="004D113C" w:rsidRPr="004D113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室</w:t>
            </w:r>
            <w:r w:rsidR="004D113C" w:rsidRPr="004D113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-77</w:t>
            </w:r>
            <w:r w:rsidR="004D113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。</w:t>
            </w:r>
            <w:proofErr w:type="gramStart"/>
            <w:r w:rsidR="004D113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鼎晖投资</w:t>
            </w:r>
            <w:proofErr w:type="gramEnd"/>
            <w:r w:rsidR="004D113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的</w:t>
            </w:r>
            <w:r w:rsidR="00E8096E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普通合伙人为</w:t>
            </w:r>
            <w:r w:rsidR="0080318B" w:rsidRPr="0080318B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上海鼎晖百孚投资管理有限公司。</w:t>
            </w:r>
            <w:r w:rsidR="0080318B" w:rsidRPr="0080318B">
              <w:rPr>
                <w:rFonts w:ascii="Times New Roman" w:eastAsia="仿宋_GB2312" w:hAnsi="Times New Roman" w:hint="eastAsia"/>
                <w:sz w:val="24"/>
                <w:szCs w:val="24"/>
              </w:rPr>
              <w:t>上海鼎晖百孚</w:t>
            </w:r>
            <w:r w:rsidR="00444F82" w:rsidRPr="0080318B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投资管理有限公司</w:t>
            </w:r>
            <w:r w:rsidR="00993C94">
              <w:rPr>
                <w:rFonts w:ascii="Times New Roman" w:eastAsia="仿宋_GB2312" w:hAnsi="Times New Roman" w:hint="eastAsia"/>
                <w:sz w:val="24"/>
                <w:szCs w:val="24"/>
              </w:rPr>
              <w:t>是</w:t>
            </w:r>
            <w:r w:rsidR="00993C94" w:rsidRPr="00993C94">
              <w:rPr>
                <w:rFonts w:ascii="Times New Roman" w:eastAsia="仿宋_GB2312" w:hAnsi="Times New Roman" w:hint="eastAsia"/>
                <w:sz w:val="24"/>
                <w:szCs w:val="24"/>
              </w:rPr>
              <w:t>中国最具影响力的另类资产管理机构之一</w:t>
            </w:r>
            <w:proofErr w:type="gramStart"/>
            <w:r w:rsidR="00993C94" w:rsidRPr="00993C94">
              <w:rPr>
                <w:rFonts w:ascii="Times New Roman" w:eastAsia="仿宋_GB2312" w:hAnsi="Times New Roman" w:hint="eastAsia"/>
                <w:sz w:val="24"/>
                <w:szCs w:val="24"/>
              </w:rPr>
              <w:t>鼎晖投资</w:t>
            </w:r>
            <w:proofErr w:type="gramEnd"/>
            <w:r w:rsidR="002360E4">
              <w:rPr>
                <w:rFonts w:ascii="Times New Roman" w:eastAsia="仿宋_GB2312" w:hAnsi="Times New Roman" w:hint="eastAsia"/>
                <w:sz w:val="24"/>
                <w:szCs w:val="24"/>
              </w:rPr>
              <w:t>集团</w:t>
            </w:r>
            <w:r w:rsidR="00993C94" w:rsidRPr="00993C94">
              <w:rPr>
                <w:rFonts w:ascii="Times New Roman" w:eastAsia="仿宋_GB2312" w:hAnsi="Times New Roman" w:hint="eastAsia"/>
                <w:sz w:val="24"/>
                <w:szCs w:val="24"/>
              </w:rPr>
              <w:t>的主要基金管理人之一</w:t>
            </w:r>
            <w:r w:rsidR="00993C94">
              <w:rPr>
                <w:rFonts w:ascii="Times New Roman" w:eastAsia="仿宋_GB2312" w:hAnsi="Times New Roman" w:hint="eastAsia"/>
                <w:sz w:val="24"/>
                <w:szCs w:val="24"/>
              </w:rPr>
              <w:t>，是</w:t>
            </w:r>
            <w:proofErr w:type="gramStart"/>
            <w:r w:rsidR="00993C94">
              <w:rPr>
                <w:rFonts w:ascii="Times New Roman" w:eastAsia="仿宋_GB2312" w:hAnsi="Times New Roman" w:hint="eastAsia"/>
                <w:sz w:val="24"/>
                <w:szCs w:val="24"/>
              </w:rPr>
              <w:t>鼎晖</w:t>
            </w:r>
            <w:r w:rsidR="002360E4">
              <w:rPr>
                <w:rFonts w:ascii="Times New Roman" w:eastAsia="仿宋_GB2312" w:hAnsi="Times New Roman" w:hint="eastAsia"/>
                <w:sz w:val="24"/>
                <w:szCs w:val="24"/>
              </w:rPr>
              <w:t>投资</w:t>
            </w:r>
            <w:proofErr w:type="gramEnd"/>
            <w:r w:rsidR="002360E4">
              <w:rPr>
                <w:rFonts w:ascii="Times New Roman" w:eastAsia="仿宋_GB2312" w:hAnsi="Times New Roman" w:hint="eastAsia"/>
                <w:sz w:val="24"/>
                <w:szCs w:val="24"/>
              </w:rPr>
              <w:t>集团</w:t>
            </w:r>
            <w:r w:rsidR="00993C94">
              <w:rPr>
                <w:rFonts w:ascii="Times New Roman" w:eastAsia="仿宋_GB2312" w:hAnsi="Times New Roman" w:hint="eastAsia"/>
                <w:sz w:val="24"/>
                <w:szCs w:val="24"/>
              </w:rPr>
              <w:t>旗下以专项主</w:t>
            </w:r>
            <w:r w:rsidR="009B0331">
              <w:rPr>
                <w:rFonts w:ascii="Times New Roman" w:eastAsia="仿宋_GB2312" w:hAnsi="Times New Roman" w:hint="eastAsia"/>
                <w:sz w:val="24"/>
                <w:szCs w:val="24"/>
              </w:rPr>
              <w:t>题</w:t>
            </w:r>
            <w:r w:rsidR="00993C94">
              <w:rPr>
                <w:rFonts w:ascii="Times New Roman" w:eastAsia="仿宋_GB2312" w:hAnsi="Times New Roman" w:hint="eastAsia"/>
                <w:sz w:val="24"/>
                <w:szCs w:val="24"/>
              </w:rPr>
              <w:t>股权投资基金为特色的多元化资产管理平台</w:t>
            </w:r>
            <w:r w:rsidR="00993C94" w:rsidRPr="00993C94">
              <w:rPr>
                <w:rFonts w:ascii="Times New Roman" w:eastAsia="仿宋_GB2312" w:hAnsi="Times New Roman" w:hint="eastAsia"/>
                <w:sz w:val="24"/>
                <w:szCs w:val="24"/>
              </w:rPr>
              <w:t>。</w:t>
            </w:r>
          </w:p>
        </w:tc>
      </w:tr>
      <w:tr w:rsidR="00091EAA" w:rsidRPr="00B404C4" w14:paraId="79C7EF8C" w14:textId="77777777" w:rsidTr="00FD4E6D">
        <w:trPr>
          <w:trHeight w:val="404"/>
          <w:jc w:val="center"/>
        </w:trPr>
        <w:tc>
          <w:tcPr>
            <w:tcW w:w="1809" w:type="dxa"/>
            <w:vMerge/>
            <w:shd w:val="clear" w:color="auto" w:fill="D9D9D9"/>
            <w:vAlign w:val="center"/>
          </w:tcPr>
          <w:p w14:paraId="0E7B8E05" w14:textId="77777777" w:rsidR="00091EAA" w:rsidRPr="00B404C4" w:rsidRDefault="00091EAA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796" w:type="dxa"/>
          </w:tcPr>
          <w:p w14:paraId="35041CA0" w14:textId="399B6140" w:rsidR="00091EAA" w:rsidRPr="00B404C4" w:rsidRDefault="00090E61">
            <w:pPr>
              <w:spacing w:line="5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</w:t>
            </w:r>
            <w:r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、</w:t>
            </w:r>
            <w:r w:rsidR="00920546"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景芝酒业</w:t>
            </w:r>
          </w:p>
        </w:tc>
        <w:tc>
          <w:tcPr>
            <w:tcW w:w="5153" w:type="dxa"/>
          </w:tcPr>
          <w:p w14:paraId="79CAF28C" w14:textId="328FC97D" w:rsidR="006D3DBE" w:rsidRPr="00B404C4" w:rsidRDefault="00622B78" w:rsidP="00412831">
            <w:pPr>
              <w:spacing w:line="5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景芝酒业</w:t>
            </w:r>
            <w:r w:rsidR="004D113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成立于</w:t>
            </w:r>
            <w:r w:rsidR="001F485A" w:rsidRPr="001F485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1993</w:t>
            </w:r>
            <w:r w:rsidR="001F485A" w:rsidRPr="001F485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年</w:t>
            </w:r>
            <w:r w:rsidR="001F485A" w:rsidRPr="001F485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9</w:t>
            </w:r>
            <w:r w:rsidR="001F485A" w:rsidRPr="001F485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月</w:t>
            </w:r>
            <w:r w:rsidR="001F485A" w:rsidRPr="001F485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28</w:t>
            </w:r>
            <w:r w:rsidR="001F485A" w:rsidRPr="001F485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日</w:t>
            </w:r>
            <w:r w:rsidR="004D113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，注册地址</w:t>
            </w:r>
            <w:r w:rsidR="004D113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lastRenderedPageBreak/>
              <w:t>为：</w:t>
            </w:r>
            <w:r w:rsidR="001F485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山东省潍坊市</w:t>
            </w:r>
            <w:r w:rsidR="001F485A" w:rsidRPr="001F485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安丘市景芝镇景阳街</w:t>
            </w:r>
            <w:r w:rsidR="004D113C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。景芝酒业</w:t>
            </w:r>
            <w:r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主要从事白酒的生产、销售业务，具有四大系列品牌，包括一品景芝、景阳春、景芝白乾、年份景芝。此外，景芝酒业还从事酒文化旅游、古陶瓷交流、生态养生、饲料等业务。</w:t>
            </w:r>
          </w:p>
        </w:tc>
      </w:tr>
      <w:tr w:rsidR="00E817BF" w:rsidRPr="00B404C4" w14:paraId="5DEB2917" w14:textId="77777777" w:rsidTr="00FD4E6D">
        <w:trPr>
          <w:trHeight w:val="279"/>
          <w:jc w:val="center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14:paraId="15477845" w14:textId="77777777" w:rsidR="00143EBB" w:rsidRPr="00B404C4" w:rsidRDefault="00800C3E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B404C4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lastRenderedPageBreak/>
              <w:t>简易案件理由（可以单选，也可以多选）</w:t>
            </w:r>
          </w:p>
        </w:tc>
        <w:tc>
          <w:tcPr>
            <w:tcW w:w="6949" w:type="dxa"/>
            <w:gridSpan w:val="2"/>
            <w:vAlign w:val="center"/>
          </w:tcPr>
          <w:p w14:paraId="71DD9D5F" w14:textId="2F47064A" w:rsidR="00143EBB" w:rsidRPr="00B404C4" w:rsidRDefault="00A62A20">
            <w:pPr>
              <w:spacing w:line="5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sym w:font="Wingdings" w:char="F0FE"/>
            </w:r>
            <w:r w:rsidR="00800C3E"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1.</w:t>
            </w:r>
            <w:r w:rsidR="00800C3E"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在同一相关市场，所有参与集中的经营者所占市场份额之和小于</w:t>
            </w:r>
            <w:r w:rsidR="00800C3E"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15%</w:t>
            </w:r>
            <w:r w:rsidR="00800C3E"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。</w:t>
            </w:r>
          </w:p>
        </w:tc>
      </w:tr>
      <w:tr w:rsidR="00E817BF" w:rsidRPr="00B404C4" w14:paraId="06784C9D" w14:textId="77777777" w:rsidTr="00FD4E6D">
        <w:trPr>
          <w:trHeight w:val="330"/>
          <w:jc w:val="center"/>
        </w:trPr>
        <w:tc>
          <w:tcPr>
            <w:tcW w:w="1809" w:type="dxa"/>
            <w:vMerge/>
            <w:shd w:val="clear" w:color="auto" w:fill="D9D9D9"/>
            <w:vAlign w:val="center"/>
          </w:tcPr>
          <w:p w14:paraId="219440A2" w14:textId="77777777" w:rsidR="00143EBB" w:rsidRPr="00B404C4" w:rsidRDefault="00143EBB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vAlign w:val="center"/>
          </w:tcPr>
          <w:p w14:paraId="4F804232" w14:textId="46549ED3" w:rsidR="00143EBB" w:rsidRPr="00B404C4" w:rsidRDefault="00920546">
            <w:pPr>
              <w:spacing w:line="5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□</w:t>
            </w:r>
            <w:r w:rsidR="00800C3E"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2.</w:t>
            </w:r>
            <w:r w:rsidR="00800C3E"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存在上下游关系的参与集中的经营者，在上下游市场所占的市场份额均小于</w:t>
            </w:r>
            <w:r w:rsidR="00800C3E"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25%</w:t>
            </w:r>
            <w:r w:rsidR="00800C3E"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。</w:t>
            </w:r>
          </w:p>
        </w:tc>
      </w:tr>
      <w:tr w:rsidR="00E817BF" w:rsidRPr="00B404C4" w14:paraId="2BF40F06" w14:textId="77777777" w:rsidTr="00FD4E6D">
        <w:trPr>
          <w:trHeight w:val="285"/>
          <w:jc w:val="center"/>
        </w:trPr>
        <w:tc>
          <w:tcPr>
            <w:tcW w:w="1809" w:type="dxa"/>
            <w:vMerge/>
            <w:shd w:val="clear" w:color="auto" w:fill="D9D9D9"/>
            <w:vAlign w:val="center"/>
          </w:tcPr>
          <w:p w14:paraId="501FCB59" w14:textId="77777777" w:rsidR="00143EBB" w:rsidRPr="00B404C4" w:rsidRDefault="00143EBB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vAlign w:val="center"/>
          </w:tcPr>
          <w:p w14:paraId="6EC8E487" w14:textId="52C900AD" w:rsidR="00143EBB" w:rsidRPr="00B404C4" w:rsidRDefault="00A62A20">
            <w:pPr>
              <w:spacing w:line="5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□</w:t>
            </w:r>
            <w:r w:rsidR="00800C3E"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3.</w:t>
            </w:r>
            <w:r w:rsidR="00800C3E"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不在同一相关市场、也不存在上下游关系的参与集中的经营者，在与交易有关的每个市场所占的份额均小于</w:t>
            </w:r>
            <w:r w:rsidR="00800C3E"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25%</w:t>
            </w:r>
            <w:r w:rsidR="00800C3E"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。</w:t>
            </w:r>
          </w:p>
        </w:tc>
      </w:tr>
      <w:tr w:rsidR="00E817BF" w:rsidRPr="00B404C4" w14:paraId="58E2CF39" w14:textId="77777777" w:rsidTr="00FD4E6D">
        <w:trPr>
          <w:trHeight w:val="870"/>
          <w:jc w:val="center"/>
        </w:trPr>
        <w:tc>
          <w:tcPr>
            <w:tcW w:w="1809" w:type="dxa"/>
            <w:vMerge/>
            <w:shd w:val="clear" w:color="auto" w:fill="D9D9D9"/>
            <w:vAlign w:val="center"/>
          </w:tcPr>
          <w:p w14:paraId="4CF115F2" w14:textId="77777777" w:rsidR="00143EBB" w:rsidRPr="00B404C4" w:rsidRDefault="00143EBB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vAlign w:val="center"/>
          </w:tcPr>
          <w:p w14:paraId="57E3CAAA" w14:textId="77777777" w:rsidR="00143EBB" w:rsidRPr="00B404C4" w:rsidRDefault="00800C3E">
            <w:pPr>
              <w:spacing w:line="5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□4.</w:t>
            </w:r>
            <w:r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参与集中的经营者在中国境外设立合营企业，合营企业不在中国境内从事经济活动。</w:t>
            </w:r>
          </w:p>
        </w:tc>
      </w:tr>
      <w:tr w:rsidR="00E817BF" w:rsidRPr="00B404C4" w14:paraId="718874EF" w14:textId="77777777" w:rsidTr="00FD4E6D">
        <w:trPr>
          <w:trHeight w:val="264"/>
          <w:jc w:val="center"/>
        </w:trPr>
        <w:tc>
          <w:tcPr>
            <w:tcW w:w="1809" w:type="dxa"/>
            <w:vMerge/>
            <w:shd w:val="clear" w:color="auto" w:fill="D9D9D9"/>
            <w:vAlign w:val="center"/>
          </w:tcPr>
          <w:p w14:paraId="10349407" w14:textId="77777777" w:rsidR="00143EBB" w:rsidRPr="00B404C4" w:rsidRDefault="00143EBB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vAlign w:val="center"/>
          </w:tcPr>
          <w:p w14:paraId="4C1F8D9C" w14:textId="77777777" w:rsidR="00143EBB" w:rsidRPr="00B404C4" w:rsidRDefault="00800C3E">
            <w:pPr>
              <w:spacing w:line="5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□5.</w:t>
            </w:r>
            <w:r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参与集中的经营者收购境外企业股权或资产的，该境外企业不在中国境内从事经济活动。</w:t>
            </w:r>
          </w:p>
        </w:tc>
      </w:tr>
      <w:tr w:rsidR="00E817BF" w:rsidRPr="00B404C4" w14:paraId="3FBBA8E2" w14:textId="77777777" w:rsidTr="00FD4E6D">
        <w:trPr>
          <w:trHeight w:val="345"/>
          <w:jc w:val="center"/>
        </w:trPr>
        <w:tc>
          <w:tcPr>
            <w:tcW w:w="1809" w:type="dxa"/>
            <w:vMerge/>
            <w:shd w:val="clear" w:color="auto" w:fill="D9D9D9"/>
            <w:vAlign w:val="center"/>
          </w:tcPr>
          <w:p w14:paraId="1AFAD7CF" w14:textId="77777777" w:rsidR="00143EBB" w:rsidRPr="00B404C4" w:rsidRDefault="00143EBB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vAlign w:val="center"/>
          </w:tcPr>
          <w:p w14:paraId="2435D1BB" w14:textId="77777777" w:rsidR="00143EBB" w:rsidRPr="00B404C4" w:rsidRDefault="00800C3E">
            <w:pPr>
              <w:spacing w:line="5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□6.</w:t>
            </w:r>
            <w:r w:rsidRPr="00B404C4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由两个以上的经营者共同控制的合营企业，通过集中被其中一个或一个以上经营者控制。</w:t>
            </w:r>
          </w:p>
        </w:tc>
      </w:tr>
      <w:tr w:rsidR="00E817BF" w:rsidRPr="00B404C4" w14:paraId="5A955D98" w14:textId="77777777" w:rsidTr="00FD4E6D">
        <w:trPr>
          <w:jc w:val="center"/>
        </w:trPr>
        <w:tc>
          <w:tcPr>
            <w:tcW w:w="1809" w:type="dxa"/>
            <w:shd w:val="clear" w:color="auto" w:fill="D9D9D9"/>
            <w:vAlign w:val="center"/>
          </w:tcPr>
          <w:p w14:paraId="1D4AB78D" w14:textId="77777777" w:rsidR="00143EBB" w:rsidRPr="00B404C4" w:rsidRDefault="00800C3E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B404C4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备注</w:t>
            </w:r>
          </w:p>
        </w:tc>
        <w:tc>
          <w:tcPr>
            <w:tcW w:w="6949" w:type="dxa"/>
            <w:gridSpan w:val="2"/>
          </w:tcPr>
          <w:p w14:paraId="528BC8C9" w14:textId="042BC4BE" w:rsidR="00401449" w:rsidRPr="00B404C4" w:rsidRDefault="00800C3E">
            <w:pPr>
              <w:spacing w:line="500" w:lineRule="exact"/>
              <w:rPr>
                <w:rFonts w:ascii="Times New Roman" w:eastAsia="仿宋_GB2312" w:hAnsi="Times New Roman"/>
                <w:b/>
                <w:sz w:val="24"/>
                <w:szCs w:val="24"/>
                <w:u w:val="single"/>
              </w:rPr>
            </w:pPr>
            <w:r w:rsidRPr="00B404C4">
              <w:rPr>
                <w:rFonts w:ascii="Times New Roman" w:eastAsia="仿宋_GB2312" w:hAnsi="Times New Roman"/>
                <w:b/>
                <w:sz w:val="24"/>
                <w:szCs w:val="24"/>
                <w:u w:val="single"/>
              </w:rPr>
              <w:t>相关市场界定及份额：</w:t>
            </w:r>
          </w:p>
          <w:p w14:paraId="49914FB1" w14:textId="0D3959F6" w:rsidR="00F45BE6" w:rsidRPr="00F45BE6" w:rsidRDefault="00821005" w:rsidP="00B42B96">
            <w:pPr>
              <w:pStyle w:val="a7"/>
              <w:numPr>
                <w:ilvl w:val="0"/>
                <w:numId w:val="9"/>
              </w:numPr>
              <w:spacing w:line="500" w:lineRule="exact"/>
              <w:ind w:firstLineChars="0"/>
            </w:pPr>
            <w:r w:rsidRPr="00F45BE6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中国</w:t>
            </w:r>
            <w:r w:rsidR="00847180"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境内</w:t>
            </w:r>
            <w:r w:rsidRPr="00F45BE6"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低</w:t>
            </w:r>
            <w:r w:rsidRPr="00F45BE6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端白酒市场</w:t>
            </w:r>
            <w:r w:rsidRPr="00B42B9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：</w:t>
            </w:r>
          </w:p>
          <w:p w14:paraId="687232DB" w14:textId="77777777" w:rsidR="00543AB8" w:rsidRDefault="00543AB8" w:rsidP="00F45BE6">
            <w:pPr>
              <w:pStyle w:val="a7"/>
              <w:spacing w:line="500" w:lineRule="exact"/>
              <w:ind w:left="360"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B42B9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景芝白酒</w:t>
            </w:r>
            <w:r w:rsidRPr="00B42B9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[0-5</w:t>
            </w:r>
            <w:r w:rsidRPr="00B42B96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]</w:t>
            </w:r>
            <w:r w:rsidRPr="00B42B9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  <w:r w:rsidRPr="00B42B96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；</w:t>
            </w:r>
          </w:p>
          <w:p w14:paraId="7F2A2518" w14:textId="26C301AA" w:rsidR="00F45BE6" w:rsidRPr="001B5FAB" w:rsidRDefault="007A79D2">
            <w:pPr>
              <w:pStyle w:val="a7"/>
              <w:spacing w:line="500" w:lineRule="exact"/>
              <w:ind w:left="360"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proofErr w:type="gramStart"/>
            <w:r w:rsidRPr="00B42B96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鼎晖投资</w:t>
            </w:r>
            <w:proofErr w:type="gramEnd"/>
            <w:r w:rsidRPr="00B42B9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[0-5</w:t>
            </w:r>
            <w:r w:rsidRPr="00B42B96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]</w:t>
            </w:r>
            <w:r w:rsidRPr="00B42B9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  <w:r w:rsidRPr="00B42B96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；</w:t>
            </w:r>
          </w:p>
          <w:p w14:paraId="783C051E" w14:textId="70DA3B84" w:rsidR="00B30D35" w:rsidRPr="00B42B96" w:rsidRDefault="007A79D2" w:rsidP="00F45BE6">
            <w:pPr>
              <w:pStyle w:val="a7"/>
              <w:spacing w:line="500" w:lineRule="exact"/>
              <w:ind w:left="360" w:firstLineChars="0" w:firstLine="0"/>
            </w:pPr>
            <w:r w:rsidRPr="00B42B96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交易方合计</w:t>
            </w:r>
            <w:r w:rsidRPr="00B42B9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[0-5</w:t>
            </w:r>
            <w:r w:rsidRPr="00B42B96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]</w:t>
            </w:r>
            <w:r w:rsidRPr="00B42B9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  <w:r w:rsidRPr="00B42B96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。</w:t>
            </w:r>
          </w:p>
          <w:p w14:paraId="7DCD8945" w14:textId="4CACAB18" w:rsidR="00F45BE6" w:rsidRPr="00543AB8" w:rsidRDefault="00B42B96" w:rsidP="001B5FAB">
            <w:pPr>
              <w:pStyle w:val="a7"/>
              <w:numPr>
                <w:ilvl w:val="0"/>
                <w:numId w:val="9"/>
              </w:numPr>
              <w:spacing w:line="500" w:lineRule="exact"/>
              <w:ind w:firstLineChars="0"/>
            </w:pPr>
            <w:r w:rsidRPr="00F45BE6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中国</w:t>
            </w:r>
            <w:r w:rsidR="00847180"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境内</w:t>
            </w:r>
            <w:r w:rsidRPr="00F45BE6"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中</w:t>
            </w:r>
            <w:r w:rsidRPr="00F45BE6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端白酒市场</w:t>
            </w:r>
            <w:r w:rsidRPr="00B42B9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：</w:t>
            </w:r>
          </w:p>
          <w:p w14:paraId="1DE2D25D" w14:textId="12647A9D" w:rsidR="00F45BE6" w:rsidRDefault="00B42B96" w:rsidP="00F45BE6">
            <w:pPr>
              <w:pStyle w:val="a7"/>
              <w:spacing w:line="500" w:lineRule="exact"/>
              <w:ind w:left="360"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B42B9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景芝白酒</w:t>
            </w:r>
            <w:r w:rsidRPr="00B42B9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[0-5</w:t>
            </w:r>
            <w:r w:rsidRPr="00B42B96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]</w:t>
            </w:r>
            <w:r w:rsidRPr="00B42B9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  <w:r w:rsidRPr="00B42B96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；</w:t>
            </w:r>
          </w:p>
          <w:p w14:paraId="33C0A264" w14:textId="7E5E900C" w:rsidR="00543AB8" w:rsidRDefault="00543AB8" w:rsidP="00F45BE6">
            <w:pPr>
              <w:pStyle w:val="a7"/>
              <w:spacing w:line="500" w:lineRule="exact"/>
              <w:ind w:left="360"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proofErr w:type="gramStart"/>
            <w:r w:rsidRPr="00B42B96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鼎晖投资</w:t>
            </w:r>
            <w:proofErr w:type="gramEnd"/>
            <w:r w:rsidRPr="00B42B9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[0-5</w:t>
            </w:r>
            <w:r w:rsidRPr="00B42B96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]</w:t>
            </w:r>
            <w:r w:rsidRPr="00B42B9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  <w:r w:rsidRPr="00B42B96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；</w:t>
            </w:r>
          </w:p>
          <w:p w14:paraId="281A98B1" w14:textId="18C37817" w:rsidR="00B42B96" w:rsidRPr="00B42B96" w:rsidRDefault="00B42B96" w:rsidP="00F45BE6">
            <w:pPr>
              <w:pStyle w:val="a7"/>
              <w:spacing w:line="500" w:lineRule="exact"/>
              <w:ind w:left="360" w:firstLineChars="0" w:firstLine="0"/>
            </w:pPr>
            <w:r w:rsidRPr="00B42B96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交易方合计</w:t>
            </w:r>
            <w:r w:rsidRPr="00B42B9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[0-5</w:t>
            </w:r>
            <w:r w:rsidRPr="00B42B96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]</w:t>
            </w:r>
            <w:r w:rsidRPr="00B42B9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  <w:r w:rsidRPr="00B42B96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。</w:t>
            </w:r>
          </w:p>
          <w:p w14:paraId="02F9F233" w14:textId="0A935869" w:rsidR="00F45BE6" w:rsidRPr="00543AB8" w:rsidRDefault="00B42B96" w:rsidP="001B5FAB">
            <w:pPr>
              <w:pStyle w:val="a7"/>
              <w:numPr>
                <w:ilvl w:val="0"/>
                <w:numId w:val="9"/>
              </w:numPr>
              <w:spacing w:line="500" w:lineRule="exact"/>
              <w:ind w:firstLineChars="0"/>
            </w:pPr>
            <w:r w:rsidRPr="00F45BE6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中国</w:t>
            </w:r>
            <w:r w:rsidR="00847180"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境内</w:t>
            </w:r>
            <w:r w:rsidRPr="00F45BE6"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次高</w:t>
            </w:r>
            <w:r w:rsidRPr="00F45BE6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端白酒市场</w:t>
            </w:r>
            <w:r w:rsidRPr="00B42B9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：</w:t>
            </w:r>
          </w:p>
          <w:p w14:paraId="64C0616F" w14:textId="39A71D68" w:rsidR="00F45BE6" w:rsidRDefault="00B42B96" w:rsidP="00F45BE6">
            <w:pPr>
              <w:pStyle w:val="a7"/>
              <w:spacing w:line="500" w:lineRule="exact"/>
              <w:ind w:left="360"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B42B9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lastRenderedPageBreak/>
              <w:t>景芝白酒</w:t>
            </w:r>
            <w:r w:rsidRPr="00B42B9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[0-5</w:t>
            </w:r>
            <w:r w:rsidRPr="00B42B96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]</w:t>
            </w:r>
            <w:r w:rsidRPr="00B42B9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  <w:r w:rsidRPr="00B42B96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；</w:t>
            </w:r>
          </w:p>
          <w:p w14:paraId="5B200069" w14:textId="6060121E" w:rsidR="00543AB8" w:rsidRDefault="00543AB8" w:rsidP="00F45BE6">
            <w:pPr>
              <w:pStyle w:val="a7"/>
              <w:spacing w:line="500" w:lineRule="exact"/>
              <w:ind w:left="360" w:firstLineChars="0" w:firstLine="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B42B96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鼎晖投资</w:t>
            </w:r>
            <w:r w:rsidRPr="00B42B9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[0-5</w:t>
            </w:r>
            <w:r w:rsidRPr="00B42B96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]</w:t>
            </w:r>
            <w:r w:rsidRPr="00B42B9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  <w:r w:rsidRPr="00B42B96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；</w:t>
            </w:r>
          </w:p>
          <w:p w14:paraId="45D6C020" w14:textId="5FB2ADBF" w:rsidR="00B42B96" w:rsidRPr="00B404C4" w:rsidRDefault="00B42B96" w:rsidP="00F45BE6">
            <w:pPr>
              <w:pStyle w:val="a7"/>
              <w:spacing w:line="500" w:lineRule="exact"/>
              <w:ind w:left="360" w:firstLineChars="0" w:firstLine="0"/>
            </w:pPr>
            <w:r w:rsidRPr="00B42B96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交易方合计</w:t>
            </w:r>
            <w:r w:rsidRPr="00B42B9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[0-5</w:t>
            </w:r>
            <w:r w:rsidRPr="00B42B96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]</w:t>
            </w:r>
            <w:r w:rsidRPr="00B42B9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%</w:t>
            </w:r>
            <w:r w:rsidRPr="00B42B96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。</w:t>
            </w:r>
          </w:p>
        </w:tc>
      </w:tr>
    </w:tbl>
    <w:p w14:paraId="2F34857C" w14:textId="77777777" w:rsidR="00143EBB" w:rsidRPr="000C6931" w:rsidRDefault="00143EBB">
      <w:pPr>
        <w:rPr>
          <w:rFonts w:ascii="Times New Roman" w:eastAsia="仿宋_GB2312" w:hAnsi="Times New Roman"/>
          <w:sz w:val="24"/>
          <w:szCs w:val="24"/>
        </w:rPr>
      </w:pPr>
    </w:p>
    <w:sectPr w:rsidR="00143EBB" w:rsidRPr="000C693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0A9C6" w14:textId="77777777" w:rsidR="00D9228E" w:rsidRDefault="00D9228E" w:rsidP="0098648E">
      <w:r>
        <w:separator/>
      </w:r>
    </w:p>
  </w:endnote>
  <w:endnote w:type="continuationSeparator" w:id="0">
    <w:p w14:paraId="647CBEAF" w14:textId="77777777" w:rsidR="00D9228E" w:rsidRDefault="00D9228E" w:rsidP="0098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476567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4305CA6" w14:textId="1EC041B1" w:rsidR="00471606" w:rsidRPr="00471606" w:rsidRDefault="00471606" w:rsidP="00471606">
        <w:pPr>
          <w:pStyle w:val="a3"/>
          <w:jc w:val="center"/>
          <w:rPr>
            <w:rFonts w:ascii="Times New Roman" w:hAnsi="Times New Roman"/>
          </w:rPr>
        </w:pPr>
        <w:r w:rsidRPr="00471606">
          <w:rPr>
            <w:rFonts w:ascii="Times New Roman" w:hAnsi="Times New Roman"/>
          </w:rPr>
          <w:fldChar w:fldCharType="begin"/>
        </w:r>
        <w:r w:rsidRPr="00471606">
          <w:rPr>
            <w:rFonts w:ascii="Times New Roman" w:hAnsi="Times New Roman"/>
          </w:rPr>
          <w:instrText>PAGE   \* MERGEFORMAT</w:instrText>
        </w:r>
        <w:r w:rsidRPr="00471606">
          <w:rPr>
            <w:rFonts w:ascii="Times New Roman" w:hAnsi="Times New Roman"/>
          </w:rPr>
          <w:fldChar w:fldCharType="separate"/>
        </w:r>
        <w:r w:rsidR="00E13653" w:rsidRPr="00E13653">
          <w:rPr>
            <w:rFonts w:ascii="Times New Roman" w:hAnsi="Times New Roman"/>
            <w:noProof/>
            <w:lang w:val="zh-CN"/>
          </w:rPr>
          <w:t>3</w:t>
        </w:r>
        <w:r w:rsidRPr="00471606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8E80C" w14:textId="77777777" w:rsidR="00D9228E" w:rsidRDefault="00D9228E" w:rsidP="0098648E">
      <w:r>
        <w:separator/>
      </w:r>
    </w:p>
  </w:footnote>
  <w:footnote w:type="continuationSeparator" w:id="0">
    <w:p w14:paraId="7ED8B869" w14:textId="77777777" w:rsidR="00D9228E" w:rsidRDefault="00D9228E" w:rsidP="00986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716C"/>
    <w:multiLevelType w:val="hybridMultilevel"/>
    <w:tmpl w:val="0FF0CCB0"/>
    <w:lvl w:ilvl="0" w:tplc="F6CA6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AFC490A"/>
    <w:multiLevelType w:val="hybridMultilevel"/>
    <w:tmpl w:val="86F6F328"/>
    <w:lvl w:ilvl="0" w:tplc="277891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7700BA"/>
    <w:multiLevelType w:val="hybridMultilevel"/>
    <w:tmpl w:val="0586427C"/>
    <w:lvl w:ilvl="0" w:tplc="277891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1D2442"/>
    <w:multiLevelType w:val="hybridMultilevel"/>
    <w:tmpl w:val="102010F0"/>
    <w:lvl w:ilvl="0" w:tplc="21F653B2">
      <w:start w:val="1"/>
      <w:numFmt w:val="bullet"/>
      <w:lvlText w:val="-"/>
      <w:lvlJc w:val="left"/>
      <w:pPr>
        <w:ind w:left="420" w:hanging="420"/>
      </w:pPr>
      <w:rPr>
        <w:rFonts w:ascii="楷体_GB2312" w:eastAsia="楷体_GB2312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9B54E6"/>
    <w:multiLevelType w:val="hybridMultilevel"/>
    <w:tmpl w:val="16342D8A"/>
    <w:lvl w:ilvl="0" w:tplc="799CD0C8">
      <w:start w:val="1"/>
      <w:numFmt w:val="decimal"/>
      <w:lvlText w:val="%1."/>
      <w:lvlJc w:val="left"/>
      <w:pPr>
        <w:ind w:left="360" w:hanging="360"/>
      </w:pPr>
      <w:rPr>
        <w:rFonts w:ascii="Times New Roman" w:eastAsia="仿宋_GB2312" w:hAnsi="Times New Roman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B0B1FA9"/>
    <w:multiLevelType w:val="hybridMultilevel"/>
    <w:tmpl w:val="B450D198"/>
    <w:lvl w:ilvl="0" w:tplc="3C5CFD6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BAF68C3"/>
    <w:multiLevelType w:val="hybridMultilevel"/>
    <w:tmpl w:val="A1B41730"/>
    <w:lvl w:ilvl="0" w:tplc="39DE6D2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1B58F2"/>
    <w:multiLevelType w:val="hybridMultilevel"/>
    <w:tmpl w:val="8D403922"/>
    <w:lvl w:ilvl="0" w:tplc="EC562E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92727A9"/>
    <w:multiLevelType w:val="multilevel"/>
    <w:tmpl w:val="792727A9"/>
    <w:lvl w:ilvl="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F"/>
    <w:rsid w:val="00037065"/>
    <w:rsid w:val="000466E0"/>
    <w:rsid w:val="00066D65"/>
    <w:rsid w:val="00071BFC"/>
    <w:rsid w:val="00075107"/>
    <w:rsid w:val="00090E61"/>
    <w:rsid w:val="00091EAA"/>
    <w:rsid w:val="00092322"/>
    <w:rsid w:val="0009269A"/>
    <w:rsid w:val="000A4AFE"/>
    <w:rsid w:val="000C375C"/>
    <w:rsid w:val="000C6931"/>
    <w:rsid w:val="000D7EBA"/>
    <w:rsid w:val="000F322A"/>
    <w:rsid w:val="00100A6A"/>
    <w:rsid w:val="0010373F"/>
    <w:rsid w:val="001164CD"/>
    <w:rsid w:val="001369F7"/>
    <w:rsid w:val="001432DA"/>
    <w:rsid w:val="00143EBB"/>
    <w:rsid w:val="00146747"/>
    <w:rsid w:val="00155717"/>
    <w:rsid w:val="001837A3"/>
    <w:rsid w:val="001A2243"/>
    <w:rsid w:val="001A3B16"/>
    <w:rsid w:val="001B5FAB"/>
    <w:rsid w:val="001D3A8B"/>
    <w:rsid w:val="001E032B"/>
    <w:rsid w:val="001E3778"/>
    <w:rsid w:val="001F485A"/>
    <w:rsid w:val="00213584"/>
    <w:rsid w:val="00213BCA"/>
    <w:rsid w:val="002360E4"/>
    <w:rsid w:val="00245C4A"/>
    <w:rsid w:val="00256AD5"/>
    <w:rsid w:val="002653C3"/>
    <w:rsid w:val="00291B72"/>
    <w:rsid w:val="00296284"/>
    <w:rsid w:val="002B1946"/>
    <w:rsid w:val="002C68F9"/>
    <w:rsid w:val="002D6381"/>
    <w:rsid w:val="002E7063"/>
    <w:rsid w:val="002F5FB6"/>
    <w:rsid w:val="00300479"/>
    <w:rsid w:val="003057C5"/>
    <w:rsid w:val="003166E5"/>
    <w:rsid w:val="00334943"/>
    <w:rsid w:val="003437DF"/>
    <w:rsid w:val="0034397F"/>
    <w:rsid w:val="00356A86"/>
    <w:rsid w:val="003578D8"/>
    <w:rsid w:val="003842C8"/>
    <w:rsid w:val="00397794"/>
    <w:rsid w:val="003C0AEB"/>
    <w:rsid w:val="003D1482"/>
    <w:rsid w:val="00401449"/>
    <w:rsid w:val="00406639"/>
    <w:rsid w:val="00412831"/>
    <w:rsid w:val="004341AC"/>
    <w:rsid w:val="00444F82"/>
    <w:rsid w:val="00445B23"/>
    <w:rsid w:val="00470BB7"/>
    <w:rsid w:val="00471606"/>
    <w:rsid w:val="004D113C"/>
    <w:rsid w:val="004F431A"/>
    <w:rsid w:val="004F7688"/>
    <w:rsid w:val="00516F69"/>
    <w:rsid w:val="00521578"/>
    <w:rsid w:val="00533330"/>
    <w:rsid w:val="00540581"/>
    <w:rsid w:val="00543AB8"/>
    <w:rsid w:val="00543E6D"/>
    <w:rsid w:val="00544AE7"/>
    <w:rsid w:val="00544B57"/>
    <w:rsid w:val="00554FE3"/>
    <w:rsid w:val="00561070"/>
    <w:rsid w:val="005805C6"/>
    <w:rsid w:val="00590ABB"/>
    <w:rsid w:val="00592EE3"/>
    <w:rsid w:val="005D71A2"/>
    <w:rsid w:val="006024A4"/>
    <w:rsid w:val="0060614B"/>
    <w:rsid w:val="006216D1"/>
    <w:rsid w:val="00622B78"/>
    <w:rsid w:val="00623B27"/>
    <w:rsid w:val="006467D8"/>
    <w:rsid w:val="00663C0D"/>
    <w:rsid w:val="00666E66"/>
    <w:rsid w:val="006737E4"/>
    <w:rsid w:val="00682905"/>
    <w:rsid w:val="006833DD"/>
    <w:rsid w:val="006946D9"/>
    <w:rsid w:val="006A531B"/>
    <w:rsid w:val="006B75D5"/>
    <w:rsid w:val="006D0CC6"/>
    <w:rsid w:val="006D2AB9"/>
    <w:rsid w:val="006D3DBE"/>
    <w:rsid w:val="006E2CCB"/>
    <w:rsid w:val="006E36E1"/>
    <w:rsid w:val="006F7693"/>
    <w:rsid w:val="00707503"/>
    <w:rsid w:val="007100F0"/>
    <w:rsid w:val="00710140"/>
    <w:rsid w:val="00725292"/>
    <w:rsid w:val="007327A7"/>
    <w:rsid w:val="007703E0"/>
    <w:rsid w:val="00773E9E"/>
    <w:rsid w:val="007922FF"/>
    <w:rsid w:val="007A79D2"/>
    <w:rsid w:val="007B5BF3"/>
    <w:rsid w:val="007B6176"/>
    <w:rsid w:val="007B7C77"/>
    <w:rsid w:val="007F2275"/>
    <w:rsid w:val="007F33A5"/>
    <w:rsid w:val="00800C3E"/>
    <w:rsid w:val="00801DA7"/>
    <w:rsid w:val="0080318B"/>
    <w:rsid w:val="00805438"/>
    <w:rsid w:val="00821005"/>
    <w:rsid w:val="008350F4"/>
    <w:rsid w:val="00847180"/>
    <w:rsid w:val="00847AF1"/>
    <w:rsid w:val="00861207"/>
    <w:rsid w:val="0088767E"/>
    <w:rsid w:val="008A4111"/>
    <w:rsid w:val="008D542A"/>
    <w:rsid w:val="008E1DBF"/>
    <w:rsid w:val="0090697E"/>
    <w:rsid w:val="009135C8"/>
    <w:rsid w:val="00915F0F"/>
    <w:rsid w:val="00920546"/>
    <w:rsid w:val="009216CE"/>
    <w:rsid w:val="009221E2"/>
    <w:rsid w:val="009271A0"/>
    <w:rsid w:val="00942700"/>
    <w:rsid w:val="009532DF"/>
    <w:rsid w:val="009708BB"/>
    <w:rsid w:val="00975C84"/>
    <w:rsid w:val="0098648E"/>
    <w:rsid w:val="00993C94"/>
    <w:rsid w:val="00997019"/>
    <w:rsid w:val="009A5029"/>
    <w:rsid w:val="009B0331"/>
    <w:rsid w:val="009C4191"/>
    <w:rsid w:val="009D38D5"/>
    <w:rsid w:val="009D5152"/>
    <w:rsid w:val="009F5E8E"/>
    <w:rsid w:val="00A040C7"/>
    <w:rsid w:val="00A53F26"/>
    <w:rsid w:val="00A62A20"/>
    <w:rsid w:val="00A67796"/>
    <w:rsid w:val="00A7156E"/>
    <w:rsid w:val="00A720B5"/>
    <w:rsid w:val="00A82F7A"/>
    <w:rsid w:val="00A8399C"/>
    <w:rsid w:val="00AA0CC5"/>
    <w:rsid w:val="00AE365F"/>
    <w:rsid w:val="00B03E0C"/>
    <w:rsid w:val="00B16AFE"/>
    <w:rsid w:val="00B223BE"/>
    <w:rsid w:val="00B25529"/>
    <w:rsid w:val="00B30D35"/>
    <w:rsid w:val="00B404C4"/>
    <w:rsid w:val="00B42B96"/>
    <w:rsid w:val="00B45442"/>
    <w:rsid w:val="00B515B5"/>
    <w:rsid w:val="00B574F9"/>
    <w:rsid w:val="00B65DD5"/>
    <w:rsid w:val="00B76F1E"/>
    <w:rsid w:val="00B9761E"/>
    <w:rsid w:val="00BA4778"/>
    <w:rsid w:val="00BA555B"/>
    <w:rsid w:val="00BB2EF8"/>
    <w:rsid w:val="00BD10B6"/>
    <w:rsid w:val="00BF5123"/>
    <w:rsid w:val="00C07076"/>
    <w:rsid w:val="00C13ED6"/>
    <w:rsid w:val="00C2164F"/>
    <w:rsid w:val="00C50BB0"/>
    <w:rsid w:val="00C62B39"/>
    <w:rsid w:val="00C868B8"/>
    <w:rsid w:val="00C91D88"/>
    <w:rsid w:val="00C93DF7"/>
    <w:rsid w:val="00CA1391"/>
    <w:rsid w:val="00CA7A84"/>
    <w:rsid w:val="00CB00DF"/>
    <w:rsid w:val="00CB2271"/>
    <w:rsid w:val="00D0075D"/>
    <w:rsid w:val="00D36A88"/>
    <w:rsid w:val="00D41900"/>
    <w:rsid w:val="00D434CD"/>
    <w:rsid w:val="00D56F4A"/>
    <w:rsid w:val="00D72C0D"/>
    <w:rsid w:val="00D73C72"/>
    <w:rsid w:val="00D9228E"/>
    <w:rsid w:val="00E00ACB"/>
    <w:rsid w:val="00E0592B"/>
    <w:rsid w:val="00E10A2F"/>
    <w:rsid w:val="00E119BA"/>
    <w:rsid w:val="00E123A6"/>
    <w:rsid w:val="00E13653"/>
    <w:rsid w:val="00E21D54"/>
    <w:rsid w:val="00E31738"/>
    <w:rsid w:val="00E33332"/>
    <w:rsid w:val="00E70C23"/>
    <w:rsid w:val="00E8096E"/>
    <w:rsid w:val="00E817BF"/>
    <w:rsid w:val="00E86786"/>
    <w:rsid w:val="00E948D0"/>
    <w:rsid w:val="00EA4AE8"/>
    <w:rsid w:val="00EB1512"/>
    <w:rsid w:val="00EB6C86"/>
    <w:rsid w:val="00EC1743"/>
    <w:rsid w:val="00ED2F80"/>
    <w:rsid w:val="00ED3706"/>
    <w:rsid w:val="00ED4C27"/>
    <w:rsid w:val="00EE0A39"/>
    <w:rsid w:val="00EE32CF"/>
    <w:rsid w:val="00F01FBB"/>
    <w:rsid w:val="00F1624E"/>
    <w:rsid w:val="00F17425"/>
    <w:rsid w:val="00F237C1"/>
    <w:rsid w:val="00F2761C"/>
    <w:rsid w:val="00F32F8A"/>
    <w:rsid w:val="00F37E98"/>
    <w:rsid w:val="00F45BE6"/>
    <w:rsid w:val="00F62F8A"/>
    <w:rsid w:val="00F810AA"/>
    <w:rsid w:val="00FA341E"/>
    <w:rsid w:val="00FB15E7"/>
    <w:rsid w:val="00FB43EC"/>
    <w:rsid w:val="00FB6B40"/>
    <w:rsid w:val="00FD4E6D"/>
    <w:rsid w:val="60446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0EE01"/>
  <w15:docId w15:val="{C8D2483D-EA68-44C4-B39B-9165828D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link w:val="a8"/>
    <w:uiPriority w:val="34"/>
    <w:qFormat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800C3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00C3E"/>
    <w:rPr>
      <w:rFonts w:ascii="Calibri" w:eastAsia="宋体" w:hAnsi="Calibri" w:cs="Times New Roman"/>
      <w:kern w:val="2"/>
      <w:sz w:val="18"/>
      <w:szCs w:val="18"/>
    </w:rPr>
  </w:style>
  <w:style w:type="character" w:customStyle="1" w:styleId="a8">
    <w:name w:val="列出段落 字符"/>
    <w:link w:val="a7"/>
    <w:uiPriority w:val="34"/>
    <w:locked/>
    <w:rsid w:val="00B515B5"/>
    <w:rPr>
      <w:rFonts w:ascii="Calibri" w:eastAsia="宋体" w:hAnsi="Calibri" w:cs="Times New Roman"/>
      <w:kern w:val="2"/>
      <w:sz w:val="21"/>
      <w:szCs w:val="22"/>
    </w:rPr>
  </w:style>
  <w:style w:type="paragraph" w:styleId="ab">
    <w:name w:val="footnote text"/>
    <w:basedOn w:val="a"/>
    <w:link w:val="ac"/>
    <w:rsid w:val="00406639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c">
    <w:name w:val="脚注文本 字符"/>
    <w:basedOn w:val="a0"/>
    <w:link w:val="ab"/>
    <w:rsid w:val="00406639"/>
    <w:rPr>
      <w:rFonts w:ascii="Times New Roman" w:eastAsia="宋体" w:hAnsi="Times New Roman" w:cs="Times New Roman"/>
      <w:kern w:val="2"/>
      <w:sz w:val="18"/>
      <w:szCs w:val="18"/>
    </w:rPr>
  </w:style>
  <w:style w:type="character" w:styleId="ad">
    <w:name w:val="footnote reference"/>
    <w:basedOn w:val="a0"/>
    <w:unhideWhenUsed/>
    <w:rsid w:val="00406639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0F322A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0F322A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0F322A"/>
    <w:rPr>
      <w:rFonts w:ascii="Calibri" w:eastAsia="宋体" w:hAnsi="Calibri" w:cs="Times New Roman"/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F322A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0F322A"/>
    <w:rPr>
      <w:rFonts w:ascii="Calibri" w:eastAsia="宋体" w:hAnsi="Calibri" w:cs="Times New Roman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KWM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mofcom</dc:creator>
  <cp:lastModifiedBy>King &amp; Wood Mallesons</cp:lastModifiedBy>
  <cp:revision>6</cp:revision>
  <cp:lastPrinted>2019-12-18T03:32:00Z</cp:lastPrinted>
  <dcterms:created xsi:type="dcterms:W3CDTF">2021-09-14T06:41:00Z</dcterms:created>
  <dcterms:modified xsi:type="dcterms:W3CDTF">2021-09-14T09:08:00Z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