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31</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661"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45</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广西壮族自治区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pPr>
      <w:r>
        <w:t>DB</w:t>
      </w:r>
      <w:r>
        <w:fldChar w:fldCharType="begin">
          <w:ffData>
            <w:name w:val="文字1"/>
            <w:enabled/>
            <w:calcOnExit w:val="0"/>
            <w:textInput>
              <w:default w:val="XX"/>
            </w:textInput>
          </w:ffData>
        </w:fldChar>
      </w:r>
      <w:bookmarkStart w:id="5" w:name="文字1"/>
      <w:r>
        <w:instrText xml:space="preserve"> FORMTEXT </w:instrText>
      </w:r>
      <w:r>
        <w:fldChar w:fldCharType="separate"/>
      </w:r>
      <w:r>
        <w:t>45</w:t>
      </w:r>
      <w:r>
        <w:fldChar w:fldCharType="end"/>
      </w:r>
      <w:bookmarkEnd w:id="5"/>
      <w:r>
        <w:t xml:space="preserve">/T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XXXXX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冬种马铃薯膜下滴灌水肥药一体化</w:t>
      </w:r>
    </w:p>
    <w:p>
      <w:pPr>
        <w:pStyle w:val="197"/>
        <w:framePr w:h="6974" w:hRule="exact" w:wrap="around" w:x="1419" w:anchorLock="1"/>
      </w:pPr>
      <w:r>
        <w:rPr>
          <w:rFonts w:hint="eastAsia"/>
        </w:rPr>
        <w:t>管理技术规程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standard for the irrigation under mulch drip with integrated irrigation,ertilization and pesticide of winter potato</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广西壮族自治区市场监督管理局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after="468"/>
      </w:pPr>
      <w:bookmarkStart w:id="21"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本文件由广西壮族自治区农业科学院提出。</w:t>
      </w:r>
    </w:p>
    <w:p>
      <w:pPr>
        <w:pStyle w:val="56"/>
        <w:ind w:firstLine="420"/>
      </w:pPr>
      <w:r>
        <w:rPr>
          <w:rFonts w:hint="eastAsia"/>
        </w:rPr>
        <w:t>本文件由广西壮族自治区农业（种植业）标准化技术委员会归口。</w:t>
      </w:r>
    </w:p>
    <w:p>
      <w:pPr>
        <w:pStyle w:val="56"/>
        <w:ind w:firstLine="420"/>
      </w:pPr>
      <w:r>
        <w:rPr>
          <w:rFonts w:hint="eastAsia"/>
        </w:rPr>
        <w:t>本文件起草单位：广西壮族自治区农业科学院经济作物研究所。</w:t>
      </w:r>
    </w:p>
    <w:p>
      <w:pPr>
        <w:pStyle w:val="56"/>
        <w:ind w:firstLine="420"/>
      </w:pPr>
      <w:r>
        <w:rPr>
          <w:rFonts w:hint="eastAsia"/>
        </w:rPr>
        <w:t>本文件主要起草人：李丽淑、樊吴静、杨鑫、何虎翼、唐洲萍、谭冠宁、何新民。</w:t>
      </w:r>
    </w:p>
    <w:p>
      <w:pPr>
        <w:pStyle w:val="56"/>
        <w:ind w:firstLine="420"/>
      </w:pPr>
    </w:p>
    <w:p>
      <w:pPr>
        <w:pStyle w:val="56"/>
        <w:ind w:firstLine="420"/>
        <w:sectPr>
          <w:headerReference r:id="rId11" w:type="default"/>
          <w:footerReference r:id="rId13" w:type="default"/>
          <w:headerReference r:id="rId12" w:type="even"/>
          <w:footerReference r:id="rId14" w:type="even"/>
          <w:pgSz w:w="11906" w:h="16838"/>
          <w:pgMar w:top="1871"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BCA48043EB7C42AB83008508C1F72BDF"/>
        </w:placeholder>
      </w:sdtPr>
      <w:sdtContent>
        <w:p>
          <w:pPr>
            <w:pStyle w:val="177"/>
            <w:spacing w:before="312" w:beforeLines="100" w:after="3" w:afterLines="1"/>
          </w:pPr>
          <w:bookmarkStart w:id="23" w:name="NEW_STAND_NAME"/>
          <w:r>
            <w:rPr>
              <w:rFonts w:hint="eastAsia"/>
            </w:rPr>
            <w:t>冬种马铃薯膜下滴灌水肥药一体化</w:t>
          </w:r>
        </w:p>
        <w:p>
          <w:pPr>
            <w:pStyle w:val="177"/>
            <w:spacing w:before="3" w:beforeLines="1" w:after="680"/>
          </w:pPr>
          <w:r>
            <w:rPr>
              <w:rFonts w:hint="eastAsia"/>
            </w:rPr>
            <w:t>管理技术规程</w:t>
          </w:r>
        </w:p>
      </w:sdtContent>
    </w:sdt>
    <w:bookmarkEnd w:id="23"/>
    <w:p>
      <w:pPr>
        <w:pStyle w:val="104"/>
        <w:spacing w:before="312" w:after="312"/>
      </w:pPr>
      <w:bookmarkStart w:id="24" w:name="_Toc17233325"/>
      <w:bookmarkStart w:id="25" w:name="_Toc24884218"/>
      <w:bookmarkStart w:id="26" w:name="_Toc26718930"/>
      <w:bookmarkStart w:id="27" w:name="_Toc17233333"/>
      <w:bookmarkStart w:id="28" w:name="_Toc26648465"/>
      <w:bookmarkStart w:id="29" w:name="_Toc26986771"/>
      <w:bookmarkStart w:id="30" w:name="_Toc24884211"/>
      <w:bookmarkStart w:id="31" w:name="_Toc26986530"/>
      <w:r>
        <w:rPr>
          <w:rFonts w:hint="eastAsia"/>
        </w:rPr>
        <w:t>范围</w:t>
      </w:r>
      <w:bookmarkEnd w:id="24"/>
      <w:bookmarkEnd w:id="25"/>
      <w:bookmarkEnd w:id="26"/>
      <w:bookmarkEnd w:id="27"/>
      <w:bookmarkEnd w:id="28"/>
      <w:bookmarkEnd w:id="29"/>
      <w:bookmarkEnd w:id="30"/>
      <w:bookmarkEnd w:id="31"/>
    </w:p>
    <w:p>
      <w:pPr>
        <w:pStyle w:val="56"/>
        <w:ind w:firstLine="420"/>
      </w:pPr>
      <w:bookmarkStart w:id="32" w:name="_Toc17233334"/>
      <w:bookmarkStart w:id="33" w:name="_Toc24884219"/>
      <w:bookmarkStart w:id="34" w:name="_Toc26648466"/>
      <w:bookmarkStart w:id="35" w:name="_Toc24884212"/>
      <w:bookmarkStart w:id="36" w:name="_Toc17233326"/>
      <w:r>
        <w:rPr>
          <w:rFonts w:hint="eastAsia"/>
        </w:rPr>
        <w:t>本文件规定了冬种马铃薯膜下滴灌水肥药一体化管理技术的要求。</w:t>
      </w:r>
    </w:p>
    <w:p>
      <w:pPr>
        <w:pStyle w:val="56"/>
        <w:ind w:firstLine="420"/>
      </w:pPr>
      <w:r>
        <w:rPr>
          <w:rFonts w:hint="eastAsia"/>
        </w:rPr>
        <w:t>本文件适用于广西境内冬种马铃薯膜下滴灌水肥药一体化的栽培。</w:t>
      </w:r>
    </w:p>
    <w:p>
      <w:pPr>
        <w:pStyle w:val="104"/>
        <w:spacing w:before="312" w:after="312"/>
      </w:pPr>
      <w:bookmarkStart w:id="37" w:name="_Toc26986531"/>
      <w:bookmarkStart w:id="38" w:name="_Toc267189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9568AFCFCB3E475C87DEB5D90729806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 5084  农田灌溉水质标准</w:t>
      </w:r>
    </w:p>
    <w:p>
      <w:pPr>
        <w:pStyle w:val="56"/>
        <w:ind w:firstLine="420"/>
      </w:pPr>
      <w:r>
        <w:rPr>
          <w:rFonts w:hint="eastAsia"/>
        </w:rPr>
        <w:t>GB/T 13664  低压输水灌溉用硬聚乙烯（PVC-U）管材</w:t>
      </w:r>
    </w:p>
    <w:p>
      <w:pPr>
        <w:pStyle w:val="56"/>
        <w:ind w:firstLine="420"/>
        <w:rPr>
          <w:rFonts w:hint="eastAsia"/>
        </w:rPr>
      </w:pPr>
      <w:r>
        <w:rPr>
          <w:rFonts w:hint="eastAsia"/>
        </w:rPr>
        <w:t>GB 18133  马铃薯种薯</w:t>
      </w:r>
    </w:p>
    <w:p>
      <w:pPr>
        <w:pStyle w:val="56"/>
        <w:ind w:firstLine="420"/>
        <w:rPr>
          <w:rFonts w:hint="eastAsia"/>
        </w:rPr>
      </w:pPr>
      <w:r>
        <w:rPr>
          <w:rFonts w:hint="eastAsia"/>
        </w:rPr>
        <w:t>NY/T 5010  无公害农产品  种植业产地环境条件</w:t>
      </w:r>
    </w:p>
    <w:p>
      <w:pPr>
        <w:pStyle w:val="56"/>
        <w:ind w:firstLine="420"/>
      </w:pPr>
      <w:r>
        <w:rPr>
          <w:rFonts w:hint="eastAsia"/>
        </w:rPr>
        <w:t>NY/T 496  肥料合理使用准则  通则</w:t>
      </w:r>
    </w:p>
    <w:p>
      <w:pPr>
        <w:pStyle w:val="56"/>
        <w:ind w:firstLine="420"/>
        <w:rPr>
          <w:rFonts w:hint="eastAsia"/>
        </w:rPr>
      </w:pPr>
      <w:bookmarkStart w:id="45" w:name="_GoBack"/>
      <w:r>
        <w:rPr>
          <w:rFonts w:hint="eastAsia"/>
        </w:rPr>
        <w:t>NY/T 1868  肥料合理使用准则  有机肥料</w:t>
      </w:r>
    </w:p>
    <w:bookmarkEnd w:id="45"/>
    <w:p>
      <w:pPr>
        <w:pStyle w:val="56"/>
        <w:ind w:firstLine="420"/>
        <w:rPr>
          <w:rFonts w:hint="eastAsia"/>
        </w:rPr>
      </w:pPr>
      <w:r>
        <w:rPr>
          <w:rFonts w:hint="eastAsia"/>
        </w:rPr>
        <w:t>GB/T 8321（所有部分）  农药合理使用准则</w:t>
      </w:r>
    </w:p>
    <w:p>
      <w:pPr>
        <w:pStyle w:val="56"/>
        <w:ind w:firstLine="420"/>
      </w:pPr>
      <w:r>
        <w:rPr>
          <w:rFonts w:hint="eastAsia"/>
        </w:rPr>
        <w:t>NY/T 2383  马铃薯主要病虫害防治技术规程</w:t>
      </w:r>
    </w:p>
    <w:p>
      <w:pPr>
        <w:pStyle w:val="56"/>
        <w:ind w:firstLine="420"/>
        <w:rPr>
          <w:rFonts w:hint="eastAsia"/>
        </w:rPr>
      </w:pPr>
      <w:r>
        <w:rPr>
          <w:rFonts w:hint="eastAsia"/>
        </w:rPr>
        <w:t>NY/T 1066  马铃薯等级规格</w:t>
      </w:r>
    </w:p>
    <w:p>
      <w:pPr>
        <w:pStyle w:val="104"/>
        <w:spacing w:before="312" w:after="312"/>
      </w:pPr>
      <w:r>
        <w:rPr>
          <w:rFonts w:hint="eastAsia"/>
          <w:szCs w:val="21"/>
        </w:rPr>
        <w:t>术语和定义</w:t>
      </w:r>
    </w:p>
    <w:sdt>
      <w:sdtPr>
        <w:id w:val="-1909835108"/>
        <w:placeholder>
          <w:docPart w:val="069D89E3495A4B5489AD719B77C55D3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0" w:name="_Toc26986532"/>
          <w:bookmarkEnd w:id="40"/>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脱毒种薯</w:t>
      </w:r>
      <w:r>
        <w:rPr>
          <w:rFonts w:hint="eastAsia" w:ascii="黑体" w:hAnsi="黑体" w:eastAsia="黑体"/>
          <w:lang w:val="en-US" w:eastAsia="zh-CN"/>
        </w:rPr>
        <w:t xml:space="preserve"> </w:t>
      </w:r>
      <w:r>
        <w:rPr>
          <w:rFonts w:hint="eastAsia" w:ascii="黑体" w:hAnsi="黑体" w:eastAsia="黑体"/>
          <w:color w:val="auto"/>
        </w:rPr>
        <w:t>virus-free seed</w:t>
      </w:r>
      <w:r>
        <w:rPr>
          <w:rFonts w:hint="eastAsia" w:ascii="黑体" w:hAnsi="黑体" w:eastAsia="黑体"/>
          <w:color w:val="auto"/>
          <w:lang w:val="en-US" w:eastAsia="zh-CN"/>
        </w:rPr>
        <w:t xml:space="preserve"> </w:t>
      </w:r>
      <w:r>
        <w:rPr>
          <w:rFonts w:hint="eastAsia" w:ascii="黑体" w:hAnsi="黑体" w:eastAsia="黑体"/>
          <w:color w:val="auto"/>
        </w:rPr>
        <w:t xml:space="preserve">potato </w:t>
      </w:r>
    </w:p>
    <w:p>
      <w:pPr>
        <w:pStyle w:val="56"/>
        <w:ind w:firstLine="420"/>
      </w:pPr>
      <w:r>
        <w:rPr>
          <w:rFonts w:hint="eastAsia"/>
        </w:rPr>
        <w:t>利用不带PSTVd（纺缍状块茎类病毒）的马铃薯块茎作材料，通过茎尖分生组织培养，获得脱除PVX、PVY、PVS、PVA、PVM、PLRV和PSTVd等主要病毒的脱毒试管苗（试管薯），在人工严格隔离条件下生产的原原种（微型薯G1）、自然隔离条件下生产的原种（G2）和原种一级(G3)、二级种薯(G4)，并通过病毒检验的健康种薯，符合GB 18133的质量要求。</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芽眼</w:t>
      </w:r>
      <w:r>
        <w:rPr>
          <w:rFonts w:hint="eastAsia" w:ascii="黑体" w:hAnsi="黑体" w:eastAsia="黑体"/>
          <w:lang w:val="en-US" w:eastAsia="zh-CN"/>
        </w:rPr>
        <w:t xml:space="preserve"> bud eye</w:t>
      </w:r>
    </w:p>
    <w:p>
      <w:pPr>
        <w:pStyle w:val="56"/>
        <w:ind w:firstLine="420"/>
      </w:pPr>
      <w:r>
        <w:rPr>
          <w:rFonts w:hint="eastAsia"/>
        </w:rPr>
        <w:t>薯块表面芽的着生部位。</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膜下滴灌</w:t>
      </w:r>
      <w:r>
        <w:rPr>
          <w:rFonts w:hint="eastAsia" w:ascii="黑体" w:hAnsi="黑体" w:eastAsia="黑体"/>
          <w:lang w:val="en-US" w:eastAsia="zh-CN"/>
        </w:rPr>
        <w:t xml:space="preserve">  mulched drip irrigation</w:t>
      </w:r>
    </w:p>
    <w:p>
      <w:pPr>
        <w:pStyle w:val="56"/>
        <w:ind w:firstLine="420"/>
      </w:pPr>
      <w:r>
        <w:rPr>
          <w:rFonts w:hint="eastAsia"/>
        </w:rPr>
        <w:t>在滴灌管（带）上覆盖一层地膜的节水灌溉模式，是把滴灌技术、农艺节水与覆盖栽培技术集成后的一项农业栽培新技术。</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水肥药一体化</w:t>
      </w:r>
      <w:r>
        <w:rPr>
          <w:rFonts w:hint="eastAsia" w:ascii="黑体" w:hAnsi="黑体" w:eastAsia="黑体"/>
          <w:lang w:val="en-US" w:eastAsia="zh-CN"/>
        </w:rPr>
        <w:t xml:space="preserve">  integration of water，fertilizer and pesticide</w:t>
      </w:r>
    </w:p>
    <w:p>
      <w:pPr>
        <w:pStyle w:val="56"/>
        <w:ind w:firstLine="420"/>
      </w:pPr>
      <w:r>
        <w:rPr>
          <w:rFonts w:hint="eastAsia"/>
        </w:rPr>
        <w:t>将灌溉与施肥（农药）融为一体的农业栽培技术，以微灌系统为载体，将肥料、农药与灌溉水一起定时、定量、均匀、准确地输送到马铃薯的根系附近的土壤，实现肥料均衡供应，满足马铃薯对水肥的需求。具有节水，节肥，省力，减少烂种、烂薯、杂草和减轻病虫害，提高品质和产量等作用。</w:t>
      </w:r>
    </w:p>
    <w:p>
      <w:pPr>
        <w:pStyle w:val="104"/>
        <w:spacing w:before="312" w:after="312"/>
      </w:pPr>
      <w:r>
        <w:rPr>
          <w:rFonts w:hint="eastAsia"/>
        </w:rPr>
        <w:t>产地环境</w:t>
      </w:r>
    </w:p>
    <w:p>
      <w:pPr>
        <w:pStyle w:val="56"/>
        <w:ind w:firstLine="420"/>
      </w:pPr>
      <w:r>
        <w:rPr>
          <w:rFonts w:hint="eastAsia"/>
        </w:rPr>
        <w:t>产地环境条件符合NY /T 5010的要求，选择地势平坦、土层深厚、质地疏松、排水良好、富含有机质、中性或微酸性（PH值 5～7）的砂壤土或壤土、3年以上未种植茄科作物、水源水质符合GB 5084的地块实施。</w:t>
      </w:r>
    </w:p>
    <w:p>
      <w:pPr>
        <w:pStyle w:val="104"/>
        <w:spacing w:before="312" w:after="312"/>
        <w:rPr>
          <w:rFonts w:hAnsi="黑体" w:cs="宋体"/>
        </w:rPr>
      </w:pPr>
      <w:bookmarkStart w:id="41" w:name="_Toc27128833"/>
      <w:r>
        <w:rPr>
          <w:rFonts w:hint="eastAsia"/>
        </w:rPr>
        <w:t>系统组成与设备安装</w:t>
      </w:r>
      <w:bookmarkEnd w:id="41"/>
    </w:p>
    <w:p>
      <w:pPr>
        <w:pStyle w:val="105"/>
        <w:spacing w:before="156" w:after="156"/>
      </w:pPr>
      <w:r>
        <w:rPr>
          <w:rFonts w:hint="eastAsia"/>
        </w:rPr>
        <w:t>系统组成</w:t>
      </w:r>
    </w:p>
    <w:p>
      <w:pPr>
        <w:pStyle w:val="65"/>
        <w:spacing w:before="156" w:after="156"/>
      </w:pPr>
      <w:r>
        <w:rPr>
          <w:rFonts w:hint="eastAsia"/>
        </w:rPr>
        <w:t>总则</w:t>
      </w:r>
    </w:p>
    <w:p>
      <w:pPr>
        <w:pStyle w:val="56"/>
        <w:ind w:firstLine="420"/>
        <w:rPr>
          <w:rFonts w:ascii="Times New Roman"/>
        </w:rPr>
      </w:pPr>
      <w:r>
        <w:t>水肥一体化系统由水源、首部枢纽、田间输配水管网系统组成，滴灌系统、设备的规格和型号可根据实际生产中供水和土壤条件不同进行选择。</w:t>
      </w:r>
    </w:p>
    <w:p>
      <w:pPr>
        <w:pStyle w:val="65"/>
        <w:spacing w:before="156" w:after="156"/>
      </w:pPr>
      <w:r>
        <w:rPr>
          <w:rFonts w:hint="eastAsia"/>
        </w:rPr>
        <w:t>水源</w:t>
      </w:r>
    </w:p>
    <w:p>
      <w:pPr>
        <w:pStyle w:val="94"/>
        <w:spacing w:before="156" w:after="156"/>
      </w:pPr>
      <w:r>
        <w:rPr>
          <w:rFonts w:hint="eastAsia"/>
        </w:rPr>
        <w:t>总则</w:t>
      </w:r>
    </w:p>
    <w:p>
      <w:pPr>
        <w:pStyle w:val="56"/>
        <w:ind w:firstLine="420"/>
        <w:rPr>
          <w:rFonts w:ascii="Times New Roman"/>
        </w:rPr>
      </w:pPr>
      <w:r>
        <w:t>水源包括河流、湖泊、水库、井泉、塘坝、蓄水池等。</w:t>
      </w:r>
    </w:p>
    <w:p>
      <w:pPr>
        <w:pStyle w:val="94"/>
        <w:spacing w:before="156" w:after="156"/>
        <w:rPr>
          <w:rFonts w:hAnsi="黑体" w:cs="宋体"/>
        </w:rPr>
      </w:pPr>
      <w:r>
        <w:rPr>
          <w:rFonts w:hint="eastAsia"/>
        </w:rPr>
        <w:t>灌溉水质</w:t>
      </w:r>
    </w:p>
    <w:p>
      <w:pPr>
        <w:pStyle w:val="56"/>
        <w:ind w:firstLine="420"/>
        <w:rPr>
          <w:color w:val="000000"/>
          <w:highlight w:val="green"/>
        </w:rPr>
      </w:pPr>
      <w:r>
        <w:t>实施水肥一体化灌溉模式，进入灌溉管网的水不应含有泥沙，杂草、鱼卵和藻类等物质，灌溉水源水质应符合GB 5084</w:t>
      </w:r>
      <w:r>
        <w:rPr>
          <w:rFonts w:hint="eastAsia"/>
        </w:rPr>
        <w:t>的</w:t>
      </w:r>
      <w:r>
        <w:t>要求。</w:t>
      </w:r>
    </w:p>
    <w:p>
      <w:pPr>
        <w:pStyle w:val="94"/>
        <w:spacing w:before="156" w:after="156"/>
      </w:pPr>
      <w:r>
        <w:rPr>
          <w:rFonts w:hint="eastAsia"/>
        </w:rPr>
        <w:t>灌溉制度</w:t>
      </w:r>
    </w:p>
    <w:p>
      <w:pPr>
        <w:pStyle w:val="56"/>
        <w:ind w:firstLine="420"/>
      </w:pPr>
      <w:r>
        <w:rPr>
          <w:rFonts w:hint="eastAsia"/>
        </w:rPr>
        <w:t>见表1。</w:t>
      </w:r>
    </w:p>
    <w:p>
      <w:pPr>
        <w:pStyle w:val="112"/>
        <w:spacing w:before="156" w:after="156"/>
      </w:pPr>
      <w:r>
        <w:t>不同水平年马铃薯灌溉制度参考表</w:t>
      </w:r>
    </w:p>
    <w:tbl>
      <w:tblPr>
        <w:tblStyle w:val="26"/>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99"/>
        <w:gridCol w:w="530"/>
        <w:gridCol w:w="515"/>
        <w:gridCol w:w="540"/>
        <w:gridCol w:w="515"/>
        <w:gridCol w:w="498"/>
        <w:gridCol w:w="530"/>
        <w:gridCol w:w="515"/>
        <w:gridCol w:w="515"/>
        <w:gridCol w:w="507"/>
        <w:gridCol w:w="8"/>
        <w:gridCol w:w="622"/>
        <w:gridCol w:w="676"/>
        <w:gridCol w:w="614"/>
        <w:gridCol w:w="611"/>
        <w:gridCol w:w="599"/>
        <w:gridCol w:w="5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27"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马铃薯</w:t>
            </w:r>
          </w:p>
          <w:p>
            <w:pPr>
              <w:spacing w:line="280" w:lineRule="exact"/>
              <w:jc w:val="center"/>
              <w:rPr>
                <w:rStyle w:val="238"/>
                <w:rFonts w:ascii="宋体" w:hAnsi="宋体" w:eastAsia="宋体"/>
                <w:sz w:val="18"/>
                <w:szCs w:val="18"/>
              </w:rPr>
            </w:pPr>
            <w:r>
              <w:rPr>
                <w:rStyle w:val="238"/>
                <w:rFonts w:ascii="宋体" w:hAnsi="宋体" w:eastAsia="宋体"/>
                <w:sz w:val="18"/>
                <w:szCs w:val="18"/>
              </w:rPr>
              <w:t>生长期</w:t>
            </w:r>
          </w:p>
        </w:tc>
        <w:tc>
          <w:tcPr>
            <w:tcW w:w="828" w:type="pct"/>
            <w:gridSpan w:val="3"/>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发芽期</w:t>
            </w:r>
          </w:p>
        </w:tc>
        <w:tc>
          <w:tcPr>
            <w:tcW w:w="806" w:type="pct"/>
            <w:gridSpan w:val="3"/>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幼苗期</w:t>
            </w:r>
          </w:p>
        </w:tc>
        <w:tc>
          <w:tcPr>
            <w:tcW w:w="803" w:type="pct"/>
            <w:gridSpan w:val="3"/>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发棵期</w:t>
            </w:r>
          </w:p>
        </w:tc>
        <w:tc>
          <w:tcPr>
            <w:tcW w:w="1003" w:type="pct"/>
            <w:gridSpan w:val="4"/>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结薯期</w:t>
            </w:r>
          </w:p>
        </w:tc>
        <w:tc>
          <w:tcPr>
            <w:tcW w:w="934" w:type="pct"/>
            <w:gridSpan w:val="3"/>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成熟期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27"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水文年</w:t>
            </w:r>
          </w:p>
        </w:tc>
        <w:tc>
          <w:tcPr>
            <w:tcW w:w="277"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丰水年</w:t>
            </w:r>
          </w:p>
        </w:tc>
        <w:tc>
          <w:tcPr>
            <w:tcW w:w="269"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平水年</w:t>
            </w:r>
          </w:p>
        </w:tc>
        <w:tc>
          <w:tcPr>
            <w:tcW w:w="282"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枯水年</w:t>
            </w:r>
          </w:p>
        </w:tc>
        <w:tc>
          <w:tcPr>
            <w:tcW w:w="269"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丰水年</w:t>
            </w:r>
          </w:p>
        </w:tc>
        <w:tc>
          <w:tcPr>
            <w:tcW w:w="260"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平水年</w:t>
            </w:r>
          </w:p>
        </w:tc>
        <w:tc>
          <w:tcPr>
            <w:tcW w:w="277"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枯水年</w:t>
            </w:r>
          </w:p>
        </w:tc>
        <w:tc>
          <w:tcPr>
            <w:tcW w:w="269"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丰水年</w:t>
            </w:r>
          </w:p>
        </w:tc>
        <w:tc>
          <w:tcPr>
            <w:tcW w:w="269"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平水年</w:t>
            </w:r>
          </w:p>
        </w:tc>
        <w:tc>
          <w:tcPr>
            <w:tcW w:w="269" w:type="pct"/>
            <w:gridSpan w:val="2"/>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枯水年</w:t>
            </w:r>
          </w:p>
        </w:tc>
        <w:tc>
          <w:tcPr>
            <w:tcW w:w="325"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丰水年</w:t>
            </w:r>
          </w:p>
        </w:tc>
        <w:tc>
          <w:tcPr>
            <w:tcW w:w="353"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平水年</w:t>
            </w:r>
          </w:p>
        </w:tc>
        <w:tc>
          <w:tcPr>
            <w:tcW w:w="320"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枯水年</w:t>
            </w:r>
          </w:p>
        </w:tc>
        <w:tc>
          <w:tcPr>
            <w:tcW w:w="319"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丰水年</w:t>
            </w:r>
          </w:p>
        </w:tc>
        <w:tc>
          <w:tcPr>
            <w:tcW w:w="313"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平水年</w:t>
            </w:r>
          </w:p>
        </w:tc>
        <w:tc>
          <w:tcPr>
            <w:tcW w:w="302"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枯水年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7"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灌溉次数</w:t>
            </w:r>
          </w:p>
        </w:tc>
        <w:tc>
          <w:tcPr>
            <w:tcW w:w="277"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1</w:t>
            </w:r>
          </w:p>
        </w:tc>
        <w:tc>
          <w:tcPr>
            <w:tcW w:w="269"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2</w:t>
            </w:r>
          </w:p>
        </w:tc>
        <w:tc>
          <w:tcPr>
            <w:tcW w:w="282"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4</w:t>
            </w:r>
          </w:p>
        </w:tc>
        <w:tc>
          <w:tcPr>
            <w:tcW w:w="269"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1</w:t>
            </w:r>
          </w:p>
        </w:tc>
        <w:tc>
          <w:tcPr>
            <w:tcW w:w="260"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2</w:t>
            </w:r>
          </w:p>
        </w:tc>
        <w:tc>
          <w:tcPr>
            <w:tcW w:w="277"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3</w:t>
            </w:r>
          </w:p>
        </w:tc>
        <w:tc>
          <w:tcPr>
            <w:tcW w:w="269"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2</w:t>
            </w:r>
          </w:p>
        </w:tc>
        <w:tc>
          <w:tcPr>
            <w:tcW w:w="269"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3</w:t>
            </w:r>
          </w:p>
        </w:tc>
        <w:tc>
          <w:tcPr>
            <w:tcW w:w="269" w:type="pct"/>
            <w:gridSpan w:val="2"/>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5</w:t>
            </w:r>
          </w:p>
        </w:tc>
        <w:tc>
          <w:tcPr>
            <w:tcW w:w="325"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2</w:t>
            </w:r>
          </w:p>
        </w:tc>
        <w:tc>
          <w:tcPr>
            <w:tcW w:w="353"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3</w:t>
            </w:r>
          </w:p>
        </w:tc>
        <w:tc>
          <w:tcPr>
            <w:tcW w:w="320"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5</w:t>
            </w:r>
          </w:p>
        </w:tc>
        <w:tc>
          <w:tcPr>
            <w:tcW w:w="319"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0</w:t>
            </w:r>
          </w:p>
        </w:tc>
        <w:tc>
          <w:tcPr>
            <w:tcW w:w="313"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1</w:t>
            </w:r>
          </w:p>
        </w:tc>
        <w:tc>
          <w:tcPr>
            <w:tcW w:w="302"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27"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灌水定额（m</w:t>
            </w:r>
            <w:r>
              <w:rPr>
                <w:rStyle w:val="238"/>
                <w:rFonts w:ascii="宋体" w:hAnsi="宋体" w:eastAsia="宋体"/>
                <w:sz w:val="18"/>
                <w:szCs w:val="18"/>
                <w:vertAlign w:val="superscript"/>
              </w:rPr>
              <w:t>3</w:t>
            </w:r>
            <w:r>
              <w:rPr>
                <w:rStyle w:val="238"/>
                <w:rFonts w:ascii="宋体" w:hAnsi="宋体" w:eastAsia="宋体"/>
                <w:sz w:val="18"/>
                <w:szCs w:val="18"/>
              </w:rPr>
              <w:t>/亩）</w:t>
            </w:r>
          </w:p>
        </w:tc>
        <w:tc>
          <w:tcPr>
            <w:tcW w:w="277"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3</w:t>
            </w:r>
          </w:p>
        </w:tc>
        <w:tc>
          <w:tcPr>
            <w:tcW w:w="269"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3</w:t>
            </w:r>
          </w:p>
        </w:tc>
        <w:tc>
          <w:tcPr>
            <w:tcW w:w="282"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3</w:t>
            </w:r>
          </w:p>
        </w:tc>
        <w:tc>
          <w:tcPr>
            <w:tcW w:w="269"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5</w:t>
            </w:r>
          </w:p>
        </w:tc>
        <w:tc>
          <w:tcPr>
            <w:tcW w:w="260"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5</w:t>
            </w:r>
          </w:p>
        </w:tc>
        <w:tc>
          <w:tcPr>
            <w:tcW w:w="277"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5</w:t>
            </w:r>
          </w:p>
        </w:tc>
        <w:tc>
          <w:tcPr>
            <w:tcW w:w="269"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6</w:t>
            </w:r>
          </w:p>
        </w:tc>
        <w:tc>
          <w:tcPr>
            <w:tcW w:w="269"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6</w:t>
            </w:r>
          </w:p>
        </w:tc>
        <w:tc>
          <w:tcPr>
            <w:tcW w:w="269" w:type="pct"/>
            <w:gridSpan w:val="2"/>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6</w:t>
            </w:r>
          </w:p>
        </w:tc>
        <w:tc>
          <w:tcPr>
            <w:tcW w:w="325"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8</w:t>
            </w:r>
          </w:p>
        </w:tc>
        <w:tc>
          <w:tcPr>
            <w:tcW w:w="353"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8</w:t>
            </w:r>
          </w:p>
        </w:tc>
        <w:tc>
          <w:tcPr>
            <w:tcW w:w="320"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8</w:t>
            </w:r>
          </w:p>
        </w:tc>
        <w:tc>
          <w:tcPr>
            <w:tcW w:w="319"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0</w:t>
            </w:r>
          </w:p>
        </w:tc>
        <w:tc>
          <w:tcPr>
            <w:tcW w:w="313"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5</w:t>
            </w:r>
          </w:p>
        </w:tc>
        <w:tc>
          <w:tcPr>
            <w:tcW w:w="302"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27"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灌溉定额（m</w:t>
            </w:r>
            <w:r>
              <w:rPr>
                <w:rStyle w:val="238"/>
                <w:rFonts w:ascii="宋体" w:hAnsi="宋体" w:eastAsia="宋体"/>
                <w:sz w:val="18"/>
                <w:szCs w:val="18"/>
                <w:vertAlign w:val="superscript"/>
              </w:rPr>
              <w:t>3</w:t>
            </w:r>
            <w:r>
              <w:rPr>
                <w:rStyle w:val="238"/>
                <w:rFonts w:ascii="宋体" w:hAnsi="宋体" w:eastAsia="宋体"/>
                <w:sz w:val="18"/>
                <w:szCs w:val="18"/>
              </w:rPr>
              <w:t>/亩）</w:t>
            </w:r>
          </w:p>
        </w:tc>
        <w:tc>
          <w:tcPr>
            <w:tcW w:w="277"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3</w:t>
            </w:r>
          </w:p>
        </w:tc>
        <w:tc>
          <w:tcPr>
            <w:tcW w:w="269"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6</w:t>
            </w:r>
          </w:p>
        </w:tc>
        <w:tc>
          <w:tcPr>
            <w:tcW w:w="282"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12</w:t>
            </w:r>
          </w:p>
        </w:tc>
        <w:tc>
          <w:tcPr>
            <w:tcW w:w="269"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5</w:t>
            </w:r>
          </w:p>
        </w:tc>
        <w:tc>
          <w:tcPr>
            <w:tcW w:w="260"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10</w:t>
            </w:r>
          </w:p>
        </w:tc>
        <w:tc>
          <w:tcPr>
            <w:tcW w:w="277"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15</w:t>
            </w:r>
          </w:p>
        </w:tc>
        <w:tc>
          <w:tcPr>
            <w:tcW w:w="269"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12</w:t>
            </w:r>
          </w:p>
        </w:tc>
        <w:tc>
          <w:tcPr>
            <w:tcW w:w="269"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18</w:t>
            </w:r>
          </w:p>
        </w:tc>
        <w:tc>
          <w:tcPr>
            <w:tcW w:w="269" w:type="pct"/>
            <w:gridSpan w:val="2"/>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30</w:t>
            </w:r>
          </w:p>
        </w:tc>
        <w:tc>
          <w:tcPr>
            <w:tcW w:w="325"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16</w:t>
            </w:r>
          </w:p>
        </w:tc>
        <w:tc>
          <w:tcPr>
            <w:tcW w:w="353"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24</w:t>
            </w:r>
          </w:p>
        </w:tc>
        <w:tc>
          <w:tcPr>
            <w:tcW w:w="320"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40</w:t>
            </w:r>
          </w:p>
        </w:tc>
        <w:tc>
          <w:tcPr>
            <w:tcW w:w="319"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1</w:t>
            </w:r>
          </w:p>
        </w:tc>
        <w:tc>
          <w:tcPr>
            <w:tcW w:w="313"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5</w:t>
            </w:r>
          </w:p>
        </w:tc>
        <w:tc>
          <w:tcPr>
            <w:tcW w:w="302" w:type="pct"/>
            <w:vAlign w:val="center"/>
          </w:tcPr>
          <w:p>
            <w:pPr>
              <w:spacing w:line="280" w:lineRule="exact"/>
              <w:jc w:val="center"/>
              <w:rPr>
                <w:rStyle w:val="238"/>
                <w:rFonts w:ascii="宋体" w:hAnsi="宋体" w:eastAsia="宋体"/>
                <w:sz w:val="18"/>
                <w:szCs w:val="18"/>
              </w:rPr>
            </w:pPr>
            <w:r>
              <w:rPr>
                <w:rStyle w:val="238"/>
                <w:rFonts w:ascii="宋体" w:hAnsi="宋体" w:eastAsia="宋体"/>
                <w:sz w:val="18"/>
                <w:szCs w:val="18"/>
              </w:rPr>
              <w:t>10</w:t>
            </w:r>
          </w:p>
        </w:tc>
      </w:tr>
    </w:tbl>
    <w:p>
      <w:pPr>
        <w:pStyle w:val="65"/>
        <w:spacing w:before="156" w:after="156"/>
      </w:pPr>
      <w:r>
        <w:rPr>
          <w:rFonts w:hint="eastAsia"/>
        </w:rPr>
        <w:t>首部枢纽</w:t>
      </w:r>
    </w:p>
    <w:p>
      <w:pPr>
        <w:pStyle w:val="56"/>
        <w:ind w:firstLine="420"/>
      </w:pPr>
      <w:r>
        <w:t>首部枢纽包括动力装置、过滤器、肥液注入装置。动力装置由水泵和动力机构成：根据水源供水能力和灌溉面积来确定其的规格大小和组成，在用电困难的地方可用柴油机、拖拉机或手扶拖拉机等作为水泵的动力机，供水压力以150</w:t>
      </w:r>
      <w:r>
        <w:rPr>
          <w:vertAlign w:val="superscript"/>
        </w:rPr>
        <w:t xml:space="preserve"> </w:t>
      </w:r>
      <w:r>
        <w:t>kPa～200</w:t>
      </w:r>
      <w:r>
        <w:rPr>
          <w:vertAlign w:val="superscript"/>
        </w:rPr>
        <w:t xml:space="preserve"> </w:t>
      </w:r>
      <w:r>
        <w:t>kPa为宜。采用水压重力灌溉时要求供水塔与灌溉区的高度差</w:t>
      </w:r>
      <w:r>
        <w:rPr>
          <w:rFonts w:hint="eastAsia"/>
        </w:rPr>
        <w:t>≥</w:t>
      </w:r>
      <w:r>
        <w:t>10</w:t>
      </w:r>
      <w:r>
        <w:rPr>
          <w:vertAlign w:val="superscript"/>
        </w:rPr>
        <w:t xml:space="preserve"> </w:t>
      </w:r>
      <w:r>
        <w:t>m。</w:t>
      </w:r>
    </w:p>
    <w:p>
      <w:pPr>
        <w:pStyle w:val="65"/>
        <w:spacing w:before="156" w:after="156"/>
      </w:pPr>
      <w:r>
        <w:rPr>
          <w:rFonts w:hint="eastAsia"/>
        </w:rPr>
        <w:t>灌溉管网系统</w:t>
      </w:r>
    </w:p>
    <w:p>
      <w:pPr>
        <w:pStyle w:val="56"/>
        <w:ind w:firstLine="420"/>
      </w:pPr>
      <w:r>
        <w:t>灌溉管网应根据各水源控制的灌溉面积大小进行分级，灌溉面积较大时宜分为总干管、分干管、支管和毛管四级；灌溉面积较小时宜分为干管、支管和毛管三级。主干管、支管常用硬聚氯乙烯管材和管件，应符合GB/T 13664的要求。毛管常采用滴灌带或滴灌管，滴灌带有内镶贴片式和单翼迷宫式，带压力补偿式滴灌带应用较广，滴灌管有内镶圆柱式，迷宫式、压力补偿式、小管出流式，额定工作压力通常为50 kPa～150</w:t>
      </w:r>
      <w:r>
        <w:rPr>
          <w:vertAlign w:val="superscript"/>
        </w:rPr>
        <w:t xml:space="preserve"> </w:t>
      </w:r>
      <w:r>
        <w:t>kPa，根据需求选择型号。冬种马铃薯选择薄壁滴灌带/喷灌带，滴头/喷孔间距20</w:t>
      </w:r>
      <w:r>
        <w:rPr>
          <w:vertAlign w:val="superscript"/>
        </w:rPr>
        <w:t xml:space="preserve"> </w:t>
      </w:r>
      <w:r>
        <w:t>cm～30</w:t>
      </w:r>
      <w:r>
        <w:rPr>
          <w:vertAlign w:val="superscript"/>
        </w:rPr>
        <w:t xml:space="preserve"> </w:t>
      </w:r>
      <w:r>
        <w:t>cm，滴灌孔流量一般为1.0</w:t>
      </w:r>
      <w:r>
        <w:rPr>
          <w:vertAlign w:val="superscript"/>
        </w:rPr>
        <w:t xml:space="preserve"> </w:t>
      </w:r>
      <w:r>
        <w:t>L/h～2.0</w:t>
      </w:r>
      <w:r>
        <w:rPr>
          <w:vertAlign w:val="superscript"/>
        </w:rPr>
        <w:t xml:space="preserve"> </w:t>
      </w:r>
      <w:r>
        <w:t>L/h。</w:t>
      </w:r>
    </w:p>
    <w:p>
      <w:pPr>
        <w:pStyle w:val="105"/>
        <w:spacing w:before="156" w:after="156"/>
      </w:pPr>
      <w:r>
        <w:rPr>
          <w:rFonts w:hint="eastAsia"/>
        </w:rPr>
        <w:t>设备安装</w:t>
      </w:r>
    </w:p>
    <w:p>
      <w:pPr>
        <w:pStyle w:val="56"/>
        <w:ind w:firstLine="420"/>
        <w:rPr>
          <w:b/>
          <w:bCs/>
        </w:rPr>
      </w:pPr>
      <w:r>
        <w:t>滴灌设备安装可根据灌溉面积大小而定，灌溉面积大的地块可在种植前铺设地下主管道，种植后安装水泵、过滤器、水表、空气阀、安全阀、施肥罐、电控开关等首部设备，播种完后铺设地上主、支管和滴灌带，首先将主支管连接好，最后连接滴灌带，可沿畦（2行种薯）的中间铺设1条滴灌管/带或喷灌带，等全部连接好后，再试水，检测是否堵漏现象。</w:t>
      </w:r>
    </w:p>
    <w:p>
      <w:pPr>
        <w:pStyle w:val="104"/>
        <w:spacing w:before="312" w:after="312"/>
        <w:rPr>
          <w:rFonts w:hAnsi="黑体" w:cs="宋体"/>
          <w:szCs w:val="21"/>
        </w:rPr>
      </w:pPr>
      <w:bookmarkStart w:id="42" w:name="_Toc27128834"/>
      <w:r>
        <w:rPr>
          <w:rFonts w:hint="eastAsia"/>
        </w:rPr>
        <w:t>栽培技术</w:t>
      </w:r>
      <w:bookmarkEnd w:id="42"/>
    </w:p>
    <w:p>
      <w:pPr>
        <w:pStyle w:val="105"/>
        <w:spacing w:before="156" w:after="156"/>
      </w:pPr>
      <w:r>
        <w:rPr>
          <w:rFonts w:hint="eastAsia"/>
        </w:rPr>
        <w:t>品种选择</w:t>
      </w:r>
    </w:p>
    <w:p>
      <w:pPr>
        <w:pStyle w:val="56"/>
        <w:ind w:firstLine="420"/>
      </w:pPr>
      <w:r>
        <w:t>选择适宜食用或加工的优质、高产、抗性强、生育期在70</w:t>
      </w:r>
      <w:r>
        <w:rPr>
          <w:rFonts w:hint="eastAsia"/>
          <w:vertAlign w:val="superscript"/>
        </w:rPr>
        <w:t xml:space="preserve"> </w:t>
      </w:r>
      <w:r>
        <w:rPr>
          <w:rFonts w:hint="eastAsia"/>
        </w:rPr>
        <w:t>d</w:t>
      </w:r>
      <w:r>
        <w:t>～90</w:t>
      </w:r>
      <w:r>
        <w:rPr>
          <w:rFonts w:hint="eastAsia"/>
          <w:vertAlign w:val="superscript"/>
        </w:rPr>
        <w:t xml:space="preserve"> </w:t>
      </w:r>
      <w:r>
        <w:rPr>
          <w:rFonts w:hint="eastAsia"/>
        </w:rPr>
        <w:t>d</w:t>
      </w:r>
      <w:r>
        <w:t>的中早熟品种，种薯质量应符合GB 18133的要求（原种一级或二级脱毒种薯）。</w:t>
      </w:r>
    </w:p>
    <w:p>
      <w:pPr>
        <w:pStyle w:val="105"/>
        <w:spacing w:before="156" w:after="156"/>
        <w:rPr>
          <w:rFonts w:hAnsi="黑体" w:cs="宋体"/>
        </w:rPr>
      </w:pPr>
      <w:r>
        <w:rPr>
          <w:rFonts w:hint="eastAsia"/>
        </w:rPr>
        <w:t>种薯处理</w:t>
      </w:r>
    </w:p>
    <w:p>
      <w:pPr>
        <w:pStyle w:val="65"/>
        <w:spacing w:before="156" w:after="156"/>
      </w:pPr>
      <w:r>
        <w:rPr>
          <w:rFonts w:hint="eastAsia"/>
        </w:rPr>
        <w:t>种薯催芽</w:t>
      </w:r>
    </w:p>
    <w:p>
      <w:pPr>
        <w:pStyle w:val="56"/>
        <w:ind w:firstLine="420"/>
      </w:pPr>
      <w:r>
        <w:t>根据各品种的休眠期特性，提前30</w:t>
      </w:r>
      <w:r>
        <w:rPr>
          <w:rFonts w:hint="eastAsia"/>
          <w:vertAlign w:val="superscript"/>
        </w:rPr>
        <w:t xml:space="preserve"> </w:t>
      </w:r>
      <w:r>
        <w:rPr>
          <w:rFonts w:hint="eastAsia"/>
        </w:rPr>
        <w:t>d</w:t>
      </w:r>
      <w:r>
        <w:t>～40</w:t>
      </w:r>
      <w:r>
        <w:rPr>
          <w:rFonts w:hint="eastAsia"/>
          <w:vertAlign w:val="superscript"/>
        </w:rPr>
        <w:t xml:space="preserve"> </w:t>
      </w:r>
      <w:r>
        <w:rPr>
          <w:rFonts w:hint="eastAsia"/>
        </w:rPr>
        <w:t>d，</w:t>
      </w:r>
      <w:r>
        <w:t>将种薯堆放在通风遮光，温度在20</w:t>
      </w:r>
      <w:r>
        <w:rPr>
          <w:rFonts w:hint="eastAsia"/>
        </w:rPr>
        <w:t>℃</w:t>
      </w:r>
      <w:r>
        <w:t>条件下催芽，薯块堆放不宜超过5层，堆放至80</w:t>
      </w:r>
      <w:r>
        <w:rPr>
          <w:rFonts w:hint="eastAsia"/>
        </w:rPr>
        <w:t>％</w:t>
      </w:r>
      <w:r>
        <w:t>的种薯顶芽有豆粒大小时，可进行适当的光照晒种，此时视为种薯破眠。</w:t>
      </w:r>
    </w:p>
    <w:p>
      <w:pPr>
        <w:pStyle w:val="65"/>
        <w:spacing w:before="156" w:after="156"/>
        <w:rPr>
          <w:rFonts w:hAnsi="黑体" w:cs="宋体"/>
        </w:rPr>
      </w:pPr>
      <w:r>
        <w:rPr>
          <w:rFonts w:hint="eastAsia"/>
        </w:rPr>
        <w:t>种薯切块与消毒</w:t>
      </w:r>
    </w:p>
    <w:p>
      <w:pPr>
        <w:pStyle w:val="56"/>
        <w:ind w:firstLine="420"/>
      </w:pPr>
      <w:r>
        <w:t>种薯在60</w:t>
      </w:r>
      <w:r>
        <w:rPr>
          <w:rFonts w:hint="eastAsia"/>
          <w:vertAlign w:val="superscript"/>
        </w:rPr>
        <w:t xml:space="preserve"> </w:t>
      </w:r>
      <w:r>
        <w:rPr>
          <w:rFonts w:hint="eastAsia"/>
        </w:rPr>
        <w:t>g</w:t>
      </w:r>
      <w:r>
        <w:t>以下的提倡整薯作种。60</w:t>
      </w:r>
      <w:r>
        <w:rPr>
          <w:rFonts w:hint="eastAsia"/>
          <w:vertAlign w:val="superscript"/>
        </w:rPr>
        <w:t xml:space="preserve"> </w:t>
      </w:r>
      <w:r>
        <w:rPr>
          <w:rFonts w:hint="eastAsia"/>
        </w:rPr>
        <w:t>g</w:t>
      </w:r>
      <w:r>
        <w:t>以上的种薯应进行切块，每块种薯大小在30 </w:t>
      </w:r>
      <w:r>
        <w:rPr>
          <w:rFonts w:hint="eastAsia"/>
        </w:rPr>
        <w:t>g</w:t>
      </w:r>
      <w:r>
        <w:t>以上，以保证马铃薯幼苗有足够的基础营养供给。切块时纵切或者斜切，成楔状，不能成条状或者片状，每个切块有2～3个芽眼。切块过程中要进行切刀消毒。一般每个切薯工人将两把刀浸泡在2</w:t>
      </w:r>
      <w:r>
        <w:rPr>
          <w:rFonts w:hint="eastAsia"/>
        </w:rPr>
        <w:t>％</w:t>
      </w:r>
      <w:r>
        <w:t>的高锰酸钾溶液中，使用其中一把切到腐烂种薯时，再将刀浸泡刀药液中，取出另一把刀进行切薯作业，交替进行切块；并更换切板，换下来的切板也要用2</w:t>
      </w:r>
      <w:r>
        <w:rPr>
          <w:rFonts w:hint="eastAsia"/>
        </w:rPr>
        <w:t>％</w:t>
      </w:r>
      <w:r>
        <w:t>的高锰酸钾溶液或者75</w:t>
      </w:r>
      <w:r>
        <w:rPr>
          <w:rFonts w:hint="eastAsia"/>
        </w:rPr>
        <w:t>％</w:t>
      </w:r>
      <w:r>
        <w:t>的酒精进行搽拭消毒。切块后的薯块用草木灰或者双飞粉（滑石粉）其中加入甲基托布津、农用链霉素、多菌灵等均匀拌种，晒干后（一般为1</w:t>
      </w:r>
      <w:r>
        <w:rPr>
          <w:rFonts w:hint="eastAsia"/>
          <w:vertAlign w:val="superscript"/>
        </w:rPr>
        <w:t xml:space="preserve"> </w:t>
      </w:r>
      <w:r>
        <w:rPr>
          <w:rFonts w:hint="eastAsia"/>
        </w:rPr>
        <w:t>d</w:t>
      </w:r>
      <w:r>
        <w:t>～5</w:t>
      </w:r>
      <w:r>
        <w:rPr>
          <w:rFonts w:hint="eastAsia"/>
          <w:vertAlign w:val="superscript"/>
        </w:rPr>
        <w:t xml:space="preserve"> </w:t>
      </w:r>
      <w:r>
        <w:rPr>
          <w:rFonts w:hint="eastAsia"/>
        </w:rPr>
        <w:t>d</w:t>
      </w:r>
      <w:r>
        <w:t>）即可播种。</w:t>
      </w:r>
    </w:p>
    <w:p>
      <w:pPr>
        <w:pStyle w:val="56"/>
        <w:ind w:firstLine="420"/>
      </w:pPr>
    </w:p>
    <w:p>
      <w:pPr>
        <w:pStyle w:val="105"/>
        <w:spacing w:before="156" w:after="156"/>
        <w:rPr>
          <w:rFonts w:hAnsi="黑体" w:cs="宋体"/>
        </w:rPr>
      </w:pPr>
      <w:r>
        <w:rPr>
          <w:rFonts w:hint="eastAsia"/>
        </w:rPr>
        <w:t>整地</w:t>
      </w:r>
    </w:p>
    <w:p>
      <w:pPr>
        <w:pStyle w:val="56"/>
        <w:ind w:firstLine="420"/>
      </w:pPr>
      <w:r>
        <w:t>秋、冬马铃薯在前作收获后，用旋耕机翻地30</w:t>
      </w:r>
      <w:r>
        <w:rPr>
          <w:vertAlign w:val="superscript"/>
        </w:rPr>
        <w:t xml:space="preserve"> </w:t>
      </w:r>
      <w:r>
        <w:t>cm～40</w:t>
      </w:r>
      <w:r>
        <w:rPr>
          <w:rFonts w:hint="eastAsia"/>
          <w:vertAlign w:val="superscript"/>
        </w:rPr>
        <w:t xml:space="preserve"> </w:t>
      </w:r>
      <w:r>
        <w:t>cm、耙平耙细，达到地平、土细、上虚下实。播种时再用开行机按畦宽70</w:t>
      </w:r>
      <w:r>
        <w:rPr>
          <w:vertAlign w:val="superscript"/>
        </w:rPr>
        <w:t xml:space="preserve"> </w:t>
      </w:r>
      <w:r>
        <w:t>cm～80</w:t>
      </w:r>
      <w:r>
        <w:rPr>
          <w:rFonts w:ascii="Leelawadee UI" w:hAnsi="Leelawadee UI" w:cs="Leelawadee UI"/>
        </w:rPr>
        <w:t> </w:t>
      </w:r>
      <w:r>
        <w:t>cm规格，垄高20</w:t>
      </w:r>
      <w:r>
        <w:rPr>
          <w:vertAlign w:val="superscript"/>
        </w:rPr>
        <w:t xml:space="preserve"> </w:t>
      </w:r>
      <w:r>
        <w:t>cm～25</w:t>
      </w:r>
      <w:r>
        <w:rPr>
          <w:vertAlign w:val="superscript"/>
        </w:rPr>
        <w:t xml:space="preserve"> </w:t>
      </w:r>
      <w:r>
        <w:t>cm，沟宽40</w:t>
      </w:r>
      <w:r>
        <w:rPr>
          <w:vertAlign w:val="superscript"/>
        </w:rPr>
        <w:t xml:space="preserve"> </w:t>
      </w:r>
      <w:r>
        <w:t>cm，畦中间开一条宽35</w:t>
      </w:r>
      <w:r>
        <w:rPr>
          <w:vertAlign w:val="superscript"/>
        </w:rPr>
        <w:t xml:space="preserve"> </w:t>
      </w:r>
      <w:r>
        <w:t>cm，深15</w:t>
      </w:r>
      <w:r>
        <w:rPr>
          <w:vertAlign w:val="superscript"/>
        </w:rPr>
        <w:t xml:space="preserve"> </w:t>
      </w:r>
      <w:r>
        <w:t>cm的施肥沟。</w:t>
      </w:r>
    </w:p>
    <w:p>
      <w:pPr>
        <w:pStyle w:val="105"/>
        <w:spacing w:before="156" w:after="156"/>
        <w:rPr>
          <w:rFonts w:hAnsi="黑体" w:cs="宋体"/>
        </w:rPr>
      </w:pPr>
      <w:r>
        <w:rPr>
          <w:rFonts w:hint="eastAsia"/>
        </w:rPr>
        <w:t>施足基肥</w:t>
      </w:r>
    </w:p>
    <w:p>
      <w:pPr>
        <w:pStyle w:val="56"/>
        <w:ind w:firstLine="420"/>
      </w:pPr>
      <w:r>
        <w:t>根据土壤肥力，确定相应施肥种类和施肥量。一般每667 m</w:t>
      </w:r>
      <w:r>
        <w:rPr>
          <w:rFonts w:hint="eastAsia"/>
          <w:vertAlign w:val="superscript"/>
        </w:rPr>
        <w:t>2</w:t>
      </w:r>
      <w:r>
        <w:t>施用发酵腐熟无害化的有机肥500</w:t>
      </w:r>
      <w:r>
        <w:rPr>
          <w:rFonts w:hint="eastAsia"/>
          <w:vertAlign w:val="superscript"/>
        </w:rPr>
        <w:t xml:space="preserve"> </w:t>
      </w:r>
      <w:r>
        <w:t>kg以上或畜禽粪500</w:t>
      </w:r>
      <w:r>
        <w:rPr>
          <w:vertAlign w:val="superscript"/>
        </w:rPr>
        <w:t xml:space="preserve"> </w:t>
      </w:r>
      <w:r>
        <w:t>kg～800</w:t>
      </w:r>
      <w:r>
        <w:rPr>
          <w:vertAlign w:val="superscript"/>
        </w:rPr>
        <w:t xml:space="preserve"> </w:t>
      </w:r>
      <w:r>
        <w:t>kg，复合肥（15</w:t>
      </w:r>
      <w:r>
        <w:rPr>
          <w:rFonts w:hint="eastAsia"/>
        </w:rPr>
        <w:t>:</w:t>
      </w:r>
      <w:r>
        <w:t>15</w:t>
      </w:r>
      <w:r>
        <w:rPr>
          <w:rFonts w:hint="eastAsia"/>
        </w:rPr>
        <w:t>:</w:t>
      </w:r>
      <w:r>
        <w:t>15）75</w:t>
      </w:r>
      <w:r>
        <w:rPr>
          <w:vertAlign w:val="superscript"/>
        </w:rPr>
        <w:t xml:space="preserve"> </w:t>
      </w:r>
      <w:r>
        <w:t>kg</w:t>
      </w:r>
      <w:r>
        <w:rPr>
          <w:rFonts w:hint="eastAsia"/>
        </w:rPr>
        <w:t>～</w:t>
      </w:r>
      <w:r>
        <w:t>100</w:t>
      </w:r>
      <w:r>
        <w:rPr>
          <w:vertAlign w:val="superscript"/>
        </w:rPr>
        <w:t xml:space="preserve"> </w:t>
      </w:r>
      <w:r>
        <w:t>kg，基肥施放于施肥沟内，70</w:t>
      </w:r>
      <w:r>
        <w:rPr>
          <w:rFonts w:hint="eastAsia" w:hAnsi="宋体"/>
        </w:rPr>
        <w:t>％</w:t>
      </w:r>
      <w:r>
        <w:t>肥料作基肥使用，所用有机肥和复合肥要符合NY/T 1868</w:t>
      </w:r>
      <w:r>
        <w:rPr>
          <w:rFonts w:hint="eastAsia"/>
        </w:rPr>
        <w:t>、</w:t>
      </w:r>
      <w:r>
        <w:t>NY/T 496的要求。</w:t>
      </w:r>
    </w:p>
    <w:p>
      <w:pPr>
        <w:pStyle w:val="105"/>
        <w:spacing w:before="156" w:after="156"/>
        <w:rPr>
          <w:rFonts w:hAnsi="黑体" w:cs="宋体"/>
        </w:rPr>
      </w:pPr>
      <w:r>
        <w:rPr>
          <w:rFonts w:hint="eastAsia"/>
        </w:rPr>
        <w:t>播种</w:t>
      </w:r>
    </w:p>
    <w:p>
      <w:pPr>
        <w:pStyle w:val="65"/>
        <w:spacing w:before="156" w:after="156"/>
      </w:pPr>
      <w:r>
        <w:rPr>
          <w:rFonts w:hint="eastAsia"/>
        </w:rPr>
        <w:t>播种期</w:t>
      </w:r>
    </w:p>
    <w:p>
      <w:pPr>
        <w:pStyle w:val="56"/>
        <w:ind w:firstLine="420"/>
      </w:pPr>
      <w:r>
        <w:t>根据天气情况选择适宜的播期，桂北、桂西地区秋播于每年9月中下旬，桂中、桂南地区冬播于10中下旬至11月中上旬播种，桂北地区春播于12下旬至1月上旬，确保出苗后不受冻害。</w:t>
      </w:r>
    </w:p>
    <w:p>
      <w:pPr>
        <w:pStyle w:val="65"/>
        <w:spacing w:before="156" w:after="156"/>
        <w:rPr>
          <w:rFonts w:hAnsi="黑体" w:cs="宋体"/>
        </w:rPr>
      </w:pPr>
      <w:r>
        <w:rPr>
          <w:rFonts w:hint="eastAsia"/>
        </w:rPr>
        <w:t>播种密度</w:t>
      </w:r>
    </w:p>
    <w:p>
      <w:pPr>
        <w:pStyle w:val="56"/>
        <w:ind w:firstLine="420"/>
      </w:pPr>
      <w:r>
        <w:t>每667</w:t>
      </w:r>
      <w:r>
        <w:rPr>
          <w:rFonts w:hint="eastAsia"/>
          <w:vertAlign w:val="superscript"/>
        </w:rPr>
        <w:t xml:space="preserve"> </w:t>
      </w:r>
      <w:r>
        <w:t>m</w:t>
      </w:r>
      <w:r>
        <w:rPr>
          <w:vertAlign w:val="superscript"/>
        </w:rPr>
        <w:t>2</w:t>
      </w:r>
      <w:r>
        <w:t>播种密度为4</w:t>
      </w:r>
      <w:r>
        <w:rPr>
          <w:rFonts w:hint="eastAsia"/>
          <w:vertAlign w:val="superscript"/>
        </w:rPr>
        <w:t xml:space="preserve"> </w:t>
      </w:r>
      <w:r>
        <w:t>500～5</w:t>
      </w:r>
      <w:r>
        <w:rPr>
          <w:rFonts w:hint="eastAsia"/>
          <w:vertAlign w:val="superscript"/>
        </w:rPr>
        <w:t xml:space="preserve"> </w:t>
      </w:r>
      <w:r>
        <w:t>000株。</w:t>
      </w:r>
    </w:p>
    <w:p>
      <w:pPr>
        <w:pStyle w:val="65"/>
        <w:spacing w:before="156" w:after="156"/>
        <w:rPr>
          <w:rFonts w:hAnsi="黑体" w:cs="宋体"/>
        </w:rPr>
      </w:pPr>
      <w:r>
        <w:rPr>
          <w:rFonts w:hint="eastAsia"/>
        </w:rPr>
        <w:t>播种用量</w:t>
      </w:r>
    </w:p>
    <w:p>
      <w:pPr>
        <w:pStyle w:val="56"/>
        <w:ind w:firstLine="420"/>
      </w:pPr>
      <w:r>
        <w:t>每亩种薯用量为150</w:t>
      </w:r>
      <w:r>
        <w:rPr>
          <w:vertAlign w:val="superscript"/>
        </w:rPr>
        <w:t xml:space="preserve"> </w:t>
      </w:r>
      <w:r>
        <w:t>kg～200</w:t>
      </w:r>
      <w:r>
        <w:rPr>
          <w:vertAlign w:val="superscript"/>
        </w:rPr>
        <w:t xml:space="preserve"> </w:t>
      </w:r>
      <w:r>
        <w:t>kg。</w:t>
      </w:r>
    </w:p>
    <w:p>
      <w:pPr>
        <w:pStyle w:val="65"/>
        <w:spacing w:before="156" w:after="156"/>
        <w:rPr>
          <w:rFonts w:hAnsi="黑体" w:cs="宋体"/>
        </w:rPr>
      </w:pPr>
      <w:r>
        <w:rPr>
          <w:rFonts w:hint="eastAsia"/>
        </w:rPr>
        <w:t>播种</w:t>
      </w:r>
    </w:p>
    <w:p>
      <w:pPr>
        <w:pStyle w:val="56"/>
        <w:ind w:firstLine="420"/>
      </w:pPr>
      <w:r>
        <w:t>在畦中间施肥沟（已放好的基肥）的两侧将种薯按照双行“品”字形摆放，种薯注意不要接近肥料，播种深度10</w:t>
      </w:r>
      <w:r>
        <w:rPr>
          <w:vertAlign w:val="superscript"/>
        </w:rPr>
        <w:t xml:space="preserve"> </w:t>
      </w:r>
      <w:r>
        <w:t>cm～15</w:t>
      </w:r>
      <w:r>
        <w:rPr>
          <w:vertAlign w:val="superscript"/>
        </w:rPr>
        <w:t xml:space="preserve"> </w:t>
      </w:r>
      <w:r>
        <w:t>cm，株距20</w:t>
      </w:r>
      <w:r>
        <w:rPr>
          <w:vertAlign w:val="superscript"/>
        </w:rPr>
        <w:t xml:space="preserve"> </w:t>
      </w:r>
      <w:r>
        <w:t>cm～25</w:t>
      </w:r>
      <w:r>
        <w:rPr>
          <w:vertAlign w:val="superscript"/>
        </w:rPr>
        <w:t xml:space="preserve"> </w:t>
      </w:r>
      <w:r>
        <w:t>cm，行距40</w:t>
      </w:r>
      <w:r>
        <w:rPr>
          <w:vertAlign w:val="superscript"/>
        </w:rPr>
        <w:t xml:space="preserve"> </w:t>
      </w:r>
      <w:r>
        <w:t>cm，播好后在种薯覆盖细土5</w:t>
      </w:r>
      <w:r>
        <w:rPr>
          <w:vertAlign w:val="superscript"/>
        </w:rPr>
        <w:t xml:space="preserve"> </w:t>
      </w:r>
      <w:r>
        <w:t>cm～8</w:t>
      </w:r>
      <w:r>
        <w:rPr>
          <w:vertAlign w:val="superscript"/>
        </w:rPr>
        <w:t xml:space="preserve"> </w:t>
      </w:r>
      <w:r>
        <w:t>cm，整平畦面。</w:t>
      </w:r>
    </w:p>
    <w:p>
      <w:pPr>
        <w:pStyle w:val="65"/>
        <w:spacing w:before="156" w:after="156"/>
        <w:rPr>
          <w:rFonts w:hAnsi="黑体" w:cs="宋体"/>
        </w:rPr>
      </w:pPr>
      <w:r>
        <w:rPr>
          <w:rFonts w:hint="eastAsia"/>
        </w:rPr>
        <w:t>铺设滴灌管（带）</w:t>
      </w:r>
    </w:p>
    <w:p>
      <w:pPr>
        <w:pStyle w:val="56"/>
        <w:ind w:firstLine="420"/>
      </w:pPr>
      <w:r>
        <w:t>滴灌管（带）铺设为每畦一条，位于畦（2行种薯）的中间位置，要求铺平（无皱折），滴灌管的滴孔朝下，微喷灌带的孔则朝上，保证滴灌孔匀朝同一个方向，确保滴灌时不堵水，滴灌管（带）长度50</w:t>
      </w:r>
      <w:r>
        <w:rPr>
          <w:rFonts w:hint="eastAsia"/>
          <w:vertAlign w:val="superscript"/>
        </w:rPr>
        <w:t xml:space="preserve"> </w:t>
      </w:r>
      <w:r>
        <w:rPr>
          <w:rFonts w:hint="eastAsia"/>
        </w:rPr>
        <w:t>m</w:t>
      </w:r>
      <w:r>
        <w:t>～120</w:t>
      </w:r>
      <w:r>
        <w:rPr>
          <w:rFonts w:hint="eastAsia"/>
          <w:vertAlign w:val="superscript"/>
        </w:rPr>
        <w:t xml:space="preserve"> </w:t>
      </w:r>
      <w:r>
        <w:rPr>
          <w:rFonts w:hint="eastAsia"/>
        </w:rPr>
        <w:t>m</w:t>
      </w:r>
      <w:r>
        <w:t>。</w:t>
      </w:r>
    </w:p>
    <w:p>
      <w:pPr>
        <w:pStyle w:val="65"/>
        <w:spacing w:before="156" w:after="156"/>
        <w:rPr>
          <w:rFonts w:hAnsi="黑体" w:cs="宋体"/>
        </w:rPr>
      </w:pPr>
      <w:r>
        <w:rPr>
          <w:rFonts w:hint="eastAsia"/>
        </w:rPr>
        <w:t>覆盖黑地膜</w:t>
      </w:r>
    </w:p>
    <w:p>
      <w:pPr>
        <w:pStyle w:val="56"/>
        <w:ind w:firstLine="420"/>
      </w:pPr>
      <w:r>
        <w:t>播种施肥后，于土壤比较湿润时的利用1</w:t>
      </w:r>
      <w:r>
        <w:rPr>
          <w:vertAlign w:val="superscript"/>
        </w:rPr>
        <w:t xml:space="preserve"> </w:t>
      </w:r>
      <w:r>
        <w:t>m宽，0.008</w:t>
      </w:r>
      <w:r>
        <w:rPr>
          <w:vertAlign w:val="superscript"/>
        </w:rPr>
        <w:t xml:space="preserve"> </w:t>
      </w:r>
      <w:r>
        <w:t>cm厚度的全新黑地膜，人工或者覆膜机将黑地膜覆盖在畦面，要求拉紧，膜面平整，膜边及四周围用少量土压住，再用覆土机在黑膜上覆盖3</w:t>
      </w:r>
      <w:r>
        <w:rPr>
          <w:vertAlign w:val="superscript"/>
        </w:rPr>
        <w:t xml:space="preserve"> </w:t>
      </w:r>
      <w:r>
        <w:t>cm～5</w:t>
      </w:r>
      <w:r>
        <w:rPr>
          <w:vertAlign w:val="superscript"/>
        </w:rPr>
        <w:t xml:space="preserve"> </w:t>
      </w:r>
      <w:r>
        <w:t>cm细碎土壤，以免风吹掀翻黑地膜，及利于幼苗破膜出土。</w:t>
      </w:r>
    </w:p>
    <w:p>
      <w:pPr>
        <w:pStyle w:val="105"/>
        <w:spacing w:before="156" w:after="156"/>
        <w:rPr>
          <w:rFonts w:hAnsi="黑体" w:cs="宋体"/>
        </w:rPr>
      </w:pPr>
      <w:r>
        <w:rPr>
          <w:rFonts w:hint="eastAsia"/>
        </w:rPr>
        <w:t>除草</w:t>
      </w:r>
    </w:p>
    <w:p>
      <w:pPr>
        <w:pStyle w:val="56"/>
        <w:ind w:firstLine="420"/>
      </w:pPr>
      <w:r>
        <w:t>膜上盖土以后，趁土壤湿润，用芽前除草剂如乙草胺等按照说明进行沟内地头等周围环境进行杂草防除，由于黑膜覆盖畦面，除草剂未接触到马铃薯种薯，按照GB/T 8321</w:t>
      </w:r>
      <w:r>
        <w:rPr>
          <w:rFonts w:hint="eastAsia"/>
        </w:rPr>
        <w:t>（所有部分）</w:t>
      </w:r>
      <w:r>
        <w:t>的要求安全使用。</w:t>
      </w:r>
    </w:p>
    <w:p>
      <w:pPr>
        <w:pStyle w:val="56"/>
        <w:ind w:firstLine="420"/>
      </w:pPr>
    </w:p>
    <w:p>
      <w:pPr>
        <w:pStyle w:val="56"/>
        <w:ind w:firstLine="420"/>
      </w:pPr>
    </w:p>
    <w:p>
      <w:pPr>
        <w:pStyle w:val="56"/>
        <w:ind w:firstLine="420"/>
      </w:pPr>
    </w:p>
    <w:p>
      <w:pPr>
        <w:pStyle w:val="56"/>
        <w:ind w:firstLine="420"/>
      </w:pPr>
    </w:p>
    <w:p>
      <w:pPr>
        <w:pStyle w:val="105"/>
        <w:spacing w:before="156" w:after="156"/>
        <w:rPr>
          <w:rFonts w:hAnsi="黑体" w:cs="宋体"/>
        </w:rPr>
      </w:pPr>
      <w:r>
        <w:rPr>
          <w:rFonts w:hint="eastAsia"/>
        </w:rPr>
        <w:t>田间管理</w:t>
      </w:r>
    </w:p>
    <w:p>
      <w:pPr>
        <w:pStyle w:val="65"/>
        <w:spacing w:before="156" w:after="156"/>
      </w:pPr>
      <w:r>
        <w:rPr>
          <w:rFonts w:hint="eastAsia"/>
        </w:rPr>
        <w:t>查苗补苗</w:t>
      </w:r>
    </w:p>
    <w:p>
      <w:pPr>
        <w:pStyle w:val="56"/>
        <w:ind w:firstLine="420"/>
        <w:rPr>
          <w:rFonts w:ascii="Times New Roman"/>
        </w:rPr>
      </w:pPr>
      <w:r>
        <w:t>在半数幼苗出土后就需要开始田间巡查，及时查苗补苗，对不能顶破地膜的幼苗，进行人工辅助破膜，将地膜破口，让幼苗能够及时生长露出地面。</w:t>
      </w:r>
    </w:p>
    <w:p>
      <w:pPr>
        <w:pStyle w:val="65"/>
        <w:spacing w:before="156" w:after="156"/>
        <w:rPr>
          <w:rFonts w:hAnsi="黑体" w:cs="宋体"/>
        </w:rPr>
      </w:pPr>
      <w:r>
        <w:rPr>
          <w:rFonts w:hint="eastAsia"/>
        </w:rPr>
        <w:t>水分管理</w:t>
      </w:r>
    </w:p>
    <w:p>
      <w:pPr>
        <w:pStyle w:val="56"/>
        <w:ind w:firstLine="420"/>
      </w:pPr>
      <w:r>
        <w:t>马铃薯幼苗期，土壤保持湿润（田间相对含水量60</w:t>
      </w:r>
      <w:r>
        <w:rPr>
          <w:rFonts w:hint="eastAsia"/>
        </w:rPr>
        <w:t>％</w:t>
      </w:r>
      <w:r>
        <w:t>～65</w:t>
      </w:r>
      <w:r>
        <w:rPr>
          <w:rFonts w:hint="eastAsia"/>
        </w:rPr>
        <w:t>％</w:t>
      </w:r>
      <w:r>
        <w:t>）。马铃薯开花期即是块茎形成和膨大期，这时期更加注意保持土壤湿润（田间相对含水量70</w:t>
      </w:r>
      <w:r>
        <w:rPr>
          <w:rFonts w:hint="eastAsia"/>
        </w:rPr>
        <w:t>％</w:t>
      </w:r>
      <w:r>
        <w:t>～80</w:t>
      </w:r>
      <w:r>
        <w:rPr>
          <w:rFonts w:hint="eastAsia"/>
        </w:rPr>
        <w:t>％</w:t>
      </w:r>
      <w:r>
        <w:t>）。马铃薯生长后期，田间土壤相对含水量保持在50</w:t>
      </w:r>
      <w:r>
        <w:rPr>
          <w:rFonts w:hint="eastAsia"/>
        </w:rPr>
        <w:t>％</w:t>
      </w:r>
      <w:r>
        <w:t>～65</w:t>
      </w:r>
      <w:r>
        <w:rPr>
          <w:rFonts w:hint="eastAsia"/>
        </w:rPr>
        <w:t>％</w:t>
      </w:r>
      <w:r>
        <w:t>之间，利于马铃薯后期成熟与收获，水分管理按马铃薯的灌溉制度操作。</w:t>
      </w:r>
    </w:p>
    <w:p>
      <w:pPr>
        <w:pStyle w:val="65"/>
        <w:spacing w:before="156" w:after="156"/>
        <w:rPr>
          <w:rFonts w:hAnsi="黑体" w:cs="宋体"/>
        </w:rPr>
      </w:pPr>
      <w:r>
        <w:rPr>
          <w:rFonts w:hint="eastAsia"/>
        </w:rPr>
        <w:t>追肥</w:t>
      </w:r>
    </w:p>
    <w:p>
      <w:pPr>
        <w:pStyle w:val="56"/>
        <w:ind w:firstLine="420"/>
      </w:pPr>
      <w:r>
        <w:rPr>
          <w:caps/>
        </w:rPr>
        <w:t>田间出苗达到70</w:t>
      </w:r>
      <w:r>
        <w:rPr>
          <w:rFonts w:hint="eastAsia"/>
          <w:caps/>
        </w:rPr>
        <w:t>％</w:t>
      </w:r>
      <w:r>
        <w:rPr>
          <w:caps/>
        </w:rPr>
        <w:t>以上，苗高8</w:t>
      </w:r>
      <w:r>
        <w:rPr>
          <w:caps/>
          <w:vertAlign w:val="superscript"/>
        </w:rPr>
        <w:t xml:space="preserve"> </w:t>
      </w:r>
      <w:r>
        <w:t>cm～</w:t>
      </w:r>
      <w:r>
        <w:rPr>
          <w:caps/>
        </w:rPr>
        <w:t>10</w:t>
      </w:r>
      <w:r>
        <w:rPr>
          <w:caps/>
          <w:vertAlign w:val="superscript"/>
        </w:rPr>
        <w:t xml:space="preserve"> </w:t>
      </w:r>
      <w:r>
        <w:t>cm</w:t>
      </w:r>
      <w:r>
        <w:rPr>
          <w:caps/>
        </w:rPr>
        <w:t>，每667</w:t>
      </w:r>
      <w:r>
        <w:rPr>
          <w:caps/>
          <w:vertAlign w:val="superscript"/>
        </w:rPr>
        <w:t xml:space="preserve"> </w:t>
      </w:r>
      <w:r>
        <w:t>m</w:t>
      </w:r>
      <w:r>
        <w:rPr>
          <w:caps/>
          <w:vertAlign w:val="superscript"/>
        </w:rPr>
        <w:t>2</w:t>
      </w:r>
      <w:r>
        <w:rPr>
          <w:caps/>
        </w:rPr>
        <w:t>追施尿素10</w:t>
      </w:r>
      <w:r>
        <w:rPr>
          <w:caps/>
          <w:vertAlign w:val="superscript"/>
        </w:rPr>
        <w:t xml:space="preserve"> </w:t>
      </w:r>
      <w:r>
        <w:rPr>
          <w:rFonts w:hint="eastAsia"/>
        </w:rPr>
        <w:t>k</w:t>
      </w:r>
      <w:r>
        <w:t>g，颗粒状肥料先溶于水配制成母液后水肥一体化追施，间隔7</w:t>
      </w:r>
      <w:r>
        <w:rPr>
          <w:rFonts w:hint="eastAsia"/>
          <w:vertAlign w:val="superscript"/>
        </w:rPr>
        <w:t xml:space="preserve"> </w:t>
      </w:r>
      <w:r>
        <w:rPr>
          <w:rFonts w:hint="eastAsia"/>
        </w:rPr>
        <w:t>d</w:t>
      </w:r>
      <w:r>
        <w:t>～10</w:t>
      </w:r>
      <w:r>
        <w:rPr>
          <w:rFonts w:hint="eastAsia"/>
          <w:vertAlign w:val="superscript"/>
        </w:rPr>
        <w:t xml:space="preserve"> </w:t>
      </w:r>
      <w:r>
        <w:rPr>
          <w:rFonts w:hint="eastAsia"/>
        </w:rPr>
        <w:t>d</w:t>
      </w:r>
      <w:r>
        <w:t>再追肥1次，共2次</w:t>
      </w:r>
      <w:r>
        <w:rPr>
          <w:caps/>
        </w:rPr>
        <w:t>。发棵期（现蕾期）每667</w:t>
      </w:r>
      <w:r>
        <w:rPr>
          <w:rFonts w:hint="eastAsia"/>
          <w:vertAlign w:val="superscript"/>
        </w:rPr>
        <w:t xml:space="preserve"> </w:t>
      </w:r>
      <w:r>
        <w:t>m</w:t>
      </w:r>
      <w:r>
        <w:rPr>
          <w:caps/>
          <w:vertAlign w:val="superscript"/>
        </w:rPr>
        <w:t>2</w:t>
      </w:r>
      <w:r>
        <w:rPr>
          <w:caps/>
        </w:rPr>
        <w:t>追施钾肥（除氯化钾外）10</w:t>
      </w:r>
      <w:r>
        <w:rPr>
          <w:rFonts w:hint="eastAsia"/>
          <w:vertAlign w:val="superscript"/>
        </w:rPr>
        <w:t xml:space="preserve"> </w:t>
      </w:r>
      <w:r>
        <w:rPr>
          <w:rFonts w:hint="eastAsia"/>
        </w:rPr>
        <w:t>k</w:t>
      </w:r>
      <w:r>
        <w:t>g，颗粒状肥料先溶于水配制成母液后水肥一体化追施，追肥1次</w:t>
      </w:r>
      <w:r>
        <w:rPr>
          <w:caps/>
        </w:rPr>
        <w:t>。结薯期同样每667 </w:t>
      </w:r>
      <w:r>
        <w:t>m</w:t>
      </w:r>
      <w:r>
        <w:rPr>
          <w:caps/>
          <w:vertAlign w:val="superscript"/>
        </w:rPr>
        <w:t>2</w:t>
      </w:r>
      <w:r>
        <w:rPr>
          <w:caps/>
        </w:rPr>
        <w:t>追施钾肥（除氯化钾外）10 </w:t>
      </w:r>
      <w:r>
        <w:rPr>
          <w:rFonts w:hint="eastAsia"/>
        </w:rPr>
        <w:t>k</w:t>
      </w:r>
      <w:r>
        <w:t>g，追肥1次。追肥也可采用水溶肥进行施肥，按使用说明进行，以及配合施用叶面肥（磷酸二氢钾）等药剂，</w:t>
      </w:r>
      <w:r>
        <w:rPr>
          <w:caps/>
        </w:rPr>
        <w:t>按照</w:t>
      </w:r>
      <w:r>
        <w:t>NY/T 496规定使用</w:t>
      </w:r>
      <w:r>
        <w:rPr>
          <w:caps/>
        </w:rPr>
        <w:t>。</w:t>
      </w:r>
    </w:p>
    <w:p>
      <w:pPr>
        <w:pStyle w:val="105"/>
        <w:spacing w:before="156" w:after="156"/>
        <w:rPr>
          <w:rFonts w:hAnsi="黑体" w:cs="宋体"/>
        </w:rPr>
      </w:pPr>
      <w:r>
        <w:rPr>
          <w:rFonts w:hint="eastAsia"/>
        </w:rPr>
        <w:t>病虫害防治</w:t>
      </w:r>
    </w:p>
    <w:p>
      <w:pPr>
        <w:pStyle w:val="65"/>
        <w:spacing w:before="156" w:after="156"/>
      </w:pPr>
      <w:r>
        <w:rPr>
          <w:rFonts w:hint="eastAsia"/>
        </w:rPr>
        <w:t>主要病虫害</w:t>
      </w:r>
    </w:p>
    <w:p>
      <w:pPr>
        <w:pStyle w:val="56"/>
        <w:ind w:firstLine="420"/>
      </w:pPr>
      <w:r>
        <w:t>主要病害：早疫病、晚疫病、青枯病、黑胫病、疮痂病等。主要虫害：蚜虫、</w:t>
      </w:r>
      <w:r>
        <w:rPr>
          <w:rFonts w:hint="eastAsia"/>
        </w:rPr>
        <w:t>小</w:t>
      </w:r>
      <w:r>
        <w:t>地老虎、</w:t>
      </w:r>
      <w:r>
        <w:rPr>
          <w:rFonts w:hint="eastAsia" w:hAnsi="宋体"/>
          <w:bCs/>
          <w:caps/>
        </w:rPr>
        <w:t>二十八星</w:t>
      </w:r>
      <w:r>
        <w:rPr>
          <w:rFonts w:hint="eastAsia"/>
        </w:rPr>
        <w:t>瓢虫</w:t>
      </w:r>
      <w:r>
        <w:t>、夜蛾等，防治地下害虫时可结合第1次追肥和第3次追肥进行，共防治2次。</w:t>
      </w:r>
    </w:p>
    <w:p>
      <w:pPr>
        <w:pStyle w:val="65"/>
        <w:spacing w:before="156" w:after="156"/>
      </w:pPr>
      <w:r>
        <w:rPr>
          <w:rFonts w:hint="eastAsia"/>
        </w:rPr>
        <w:t>防治原则</w:t>
      </w:r>
    </w:p>
    <w:p>
      <w:pPr>
        <w:pStyle w:val="56"/>
        <w:ind w:firstLine="420"/>
      </w:pPr>
      <w:r>
        <w:t>对于马铃薯病虫害应坚持</w:t>
      </w:r>
      <w:r>
        <w:rPr>
          <w:rFonts w:hint="eastAsia"/>
        </w:rPr>
        <w:t>“</w:t>
      </w:r>
      <w:r>
        <w:t>预防为主、综合防治</w:t>
      </w:r>
      <w:r>
        <w:rPr>
          <w:rFonts w:hint="eastAsia"/>
        </w:rPr>
        <w:t>”</w:t>
      </w:r>
      <w:r>
        <w:t>综合应用农业、物理、生物防治等绿色防控措施，辅助使用化学防治措施。</w:t>
      </w:r>
    </w:p>
    <w:p>
      <w:pPr>
        <w:pStyle w:val="65"/>
        <w:spacing w:before="156" w:after="156"/>
      </w:pPr>
      <w:r>
        <w:rPr>
          <w:rFonts w:hint="eastAsia"/>
        </w:rPr>
        <w:t>农业防治</w:t>
      </w:r>
    </w:p>
    <w:p>
      <w:pPr>
        <w:pStyle w:val="56"/>
        <w:ind w:firstLine="420"/>
      </w:pPr>
      <w:r>
        <w:t>因地制宜选用抗(耐)病优良品种和脱毒种薯。合理布局，实行轮作倒茬，避免与茄科作物连作。加强清洁田园除草，保持田间沟渠畅通，做好排渍，降低田间湿度，改善田间通风降低病虫源数量。</w:t>
      </w:r>
    </w:p>
    <w:p>
      <w:pPr>
        <w:pStyle w:val="65"/>
        <w:spacing w:before="156" w:after="156"/>
      </w:pPr>
      <w:r>
        <w:rPr>
          <w:rFonts w:hint="eastAsia"/>
        </w:rPr>
        <w:t>物理防治</w:t>
      </w:r>
    </w:p>
    <w:p>
      <w:pPr>
        <w:pStyle w:val="56"/>
        <w:ind w:firstLine="420"/>
      </w:pPr>
      <w:r>
        <w:rPr>
          <w:rFonts w:hint="eastAsia"/>
        </w:rPr>
        <w:t>可采用天敌友好型可降解黄板或者太阳能诱虫灯诱杀趋光性害虫成虫，安装频振式杀虫灯诱杀害虫。</w:t>
      </w:r>
    </w:p>
    <w:p>
      <w:pPr>
        <w:pStyle w:val="65"/>
        <w:spacing w:before="156" w:after="156"/>
      </w:pPr>
      <w:r>
        <w:rPr>
          <w:rFonts w:hint="eastAsia"/>
        </w:rPr>
        <w:t>生物防治</w:t>
      </w:r>
    </w:p>
    <w:p>
      <w:pPr>
        <w:pStyle w:val="56"/>
        <w:ind w:firstLine="420"/>
      </w:pPr>
      <w:r>
        <w:t>保护利用自然天敌，创造有利于天敌生存的环境条件，选择对天敌杀伤力小的农药。安装性诱剂诱</w:t>
      </w:r>
      <w:r>
        <w:rPr>
          <w:rFonts w:hAnsi="宋体"/>
          <w:caps/>
          <w:color w:val="000000"/>
        </w:rPr>
        <w:t>杀夜蛾等害虫。</w:t>
      </w:r>
    </w:p>
    <w:p>
      <w:pPr>
        <w:pStyle w:val="65"/>
        <w:spacing w:before="156" w:after="156"/>
      </w:pPr>
      <w:r>
        <w:rPr>
          <w:rFonts w:hint="eastAsia"/>
        </w:rPr>
        <w:t>药剂防治</w:t>
      </w:r>
    </w:p>
    <w:p>
      <w:pPr>
        <w:pStyle w:val="56"/>
        <w:ind w:firstLine="420"/>
      </w:pPr>
      <w:r>
        <w:t>应按照GB/T 8321</w:t>
      </w:r>
      <w:r>
        <w:rPr>
          <w:rFonts w:hint="eastAsia"/>
        </w:rPr>
        <w:t>（所有部分）、</w:t>
      </w:r>
      <w:r>
        <w:t>NY/T 2383的规定使用农药，控制施药剂量（或浓度）、施药次数（3～5次）和安全间隔期（7</w:t>
      </w:r>
      <w:r>
        <w:rPr>
          <w:rFonts w:hint="eastAsia"/>
          <w:vertAlign w:val="superscript"/>
        </w:rPr>
        <w:t xml:space="preserve"> </w:t>
      </w:r>
      <w:r>
        <w:rPr>
          <w:rFonts w:hint="eastAsia"/>
        </w:rPr>
        <w:t>d</w:t>
      </w:r>
      <w:r>
        <w:t>～10</w:t>
      </w:r>
      <w:r>
        <w:rPr>
          <w:rFonts w:hint="eastAsia"/>
          <w:vertAlign w:val="superscript"/>
        </w:rPr>
        <w:t xml:space="preserve"> </w:t>
      </w:r>
      <w:r>
        <w:rPr>
          <w:rFonts w:hint="eastAsia"/>
        </w:rPr>
        <w:t>d</w:t>
      </w:r>
      <w:r>
        <w:t>）喷药1次，2种药物交替使用效果更好</w:t>
      </w:r>
      <w:r>
        <w:rPr>
          <w:rFonts w:hint="eastAsia"/>
        </w:rPr>
        <w:t>，</w:t>
      </w:r>
      <w:r>
        <w:rPr>
          <w:rFonts w:hint="eastAsia"/>
          <w:bCs/>
          <w:caps/>
        </w:rPr>
        <w:t>参见附录A的表A.1。</w:t>
      </w:r>
    </w:p>
    <w:p>
      <w:pPr>
        <w:pStyle w:val="105"/>
        <w:spacing w:before="156" w:after="156"/>
        <w:rPr>
          <w:rFonts w:hAnsi="黑体" w:cs="宋体"/>
        </w:rPr>
      </w:pPr>
      <w:r>
        <w:rPr>
          <w:rFonts w:hint="eastAsia"/>
        </w:rPr>
        <w:t>收获与分级包装</w:t>
      </w:r>
    </w:p>
    <w:p>
      <w:pPr>
        <w:pStyle w:val="65"/>
        <w:spacing w:before="156" w:after="156"/>
      </w:pPr>
      <w:r>
        <w:rPr>
          <w:rFonts w:hint="eastAsia"/>
        </w:rPr>
        <w:t>收获</w:t>
      </w:r>
    </w:p>
    <w:p>
      <w:pPr>
        <w:pStyle w:val="56"/>
        <w:ind w:firstLine="420"/>
        <w:rPr>
          <w:rFonts w:ascii="Times New Roman"/>
        </w:rPr>
      </w:pPr>
      <w:r>
        <w:t>当地上部枯黄、块茎充分成熟时，选择晴天进行收获。在收获过程中，避免机械损伤，捡拾、装</w:t>
      </w:r>
      <w:r>
        <w:rPr>
          <w:rFonts w:hAnsi="宋体"/>
          <w:color w:val="000000"/>
        </w:rPr>
        <w:t>袋宜轻拿轻放；防止块茎被曝晒、雨淋和长时间暴露在阳光下。</w:t>
      </w:r>
    </w:p>
    <w:p>
      <w:pPr>
        <w:pStyle w:val="65"/>
        <w:spacing w:before="156" w:after="156"/>
        <w:rPr>
          <w:rFonts w:hAnsi="黑体" w:cs="宋体"/>
        </w:rPr>
      </w:pPr>
      <w:r>
        <w:rPr>
          <w:rFonts w:hint="eastAsia"/>
        </w:rPr>
        <w:t>分级包装</w:t>
      </w:r>
    </w:p>
    <w:p>
      <w:pPr>
        <w:pStyle w:val="56"/>
        <w:ind w:firstLine="420"/>
        <w:rPr>
          <w:color w:val="000000"/>
        </w:rPr>
      </w:pPr>
      <w:r>
        <w:t>将收获后的马铃薯适当晾晒，或者风干表面水分，去掉腐烂、破损、病薯、青头和带虫口的薯块，然后按照大小进行分级，采</w:t>
      </w:r>
      <w:r>
        <w:rPr>
          <w:color w:val="000000"/>
        </w:rPr>
        <w:t>用网袋或者纸箱包装上市，田间包装应符合NY/T 1066要求。</w:t>
      </w:r>
    </w:p>
    <w:p>
      <w:pPr>
        <w:pStyle w:val="105"/>
        <w:spacing w:before="156" w:after="156"/>
        <w:rPr>
          <w:rFonts w:hAnsi="黑体" w:cs="宋体"/>
        </w:rPr>
      </w:pPr>
      <w:r>
        <w:rPr>
          <w:rFonts w:hint="eastAsia"/>
        </w:rPr>
        <w:t>运输</w:t>
      </w:r>
    </w:p>
    <w:p>
      <w:pPr>
        <w:keepNext w:val="0"/>
        <w:keepLines w:val="0"/>
        <w:widowControl/>
        <w:suppressLineNumbers w:val="0"/>
        <w:ind w:firstLine="420" w:firstLineChars="200"/>
        <w:jc w:val="left"/>
        <w:rPr>
          <w:rFonts w:hint="eastAsia" w:ascii="黑体" w:hAnsi="黑体" w:eastAsia="宋体" w:cs="宋体"/>
          <w:lang w:eastAsia="zh-CN"/>
        </w:rPr>
      </w:pPr>
      <w:r>
        <w:rPr>
          <w:rFonts w:hint="eastAsia" w:ascii="宋体" w:hAnsi="Times New Roman" w:eastAsia="宋体" w:cs="Times New Roman"/>
          <w:color w:val="000000"/>
          <w:kern w:val="0"/>
          <w:sz w:val="21"/>
          <w:szCs w:val="20"/>
          <w:lang w:val="en-US" w:eastAsia="zh-CN" w:bidi="ar-SA"/>
        </w:rPr>
        <w:t>包装好后的马铃薯鲜薯应在马铃薯</w:t>
      </w:r>
      <w:r>
        <w:rPr>
          <w:rFonts w:ascii="宋体" w:hAnsi="Times New Roman" w:eastAsia="宋体" w:cs="Times New Roman"/>
          <w:color w:val="000000"/>
          <w:kern w:val="0"/>
          <w:sz w:val="21"/>
          <w:szCs w:val="20"/>
          <w:lang w:val="en-US" w:eastAsia="zh-CN" w:bidi="ar-SA"/>
        </w:rPr>
        <w:t>安全运输期</w:t>
      </w:r>
      <w:r>
        <w:rPr>
          <w:rFonts w:hint="eastAsia" w:ascii="宋体" w:hAnsi="Times New Roman" w:eastAsia="宋体" w:cs="Times New Roman"/>
          <w:color w:val="000000"/>
          <w:kern w:val="0"/>
          <w:sz w:val="21"/>
          <w:szCs w:val="20"/>
          <w:lang w:val="en-US" w:eastAsia="zh-CN" w:bidi="ar-SA"/>
        </w:rPr>
        <w:t>及时完成运输，不应与其他有害</w:t>
      </w:r>
      <w:r>
        <w:rPr>
          <w:rFonts w:hint="default" w:ascii="宋体" w:hAnsi="Times New Roman" w:eastAsia="宋体" w:cs="Times New Roman"/>
          <w:color w:val="000000"/>
          <w:kern w:val="0"/>
          <w:sz w:val="21"/>
          <w:szCs w:val="20"/>
          <w:lang w:val="en-US" w:eastAsia="zh-CN" w:bidi="ar-SA"/>
        </w:rPr>
        <w:t>、</w:t>
      </w:r>
      <w:r>
        <w:rPr>
          <w:rFonts w:hint="eastAsia" w:ascii="宋体" w:hAnsi="Times New Roman" w:eastAsia="宋体" w:cs="Times New Roman"/>
          <w:color w:val="000000"/>
          <w:kern w:val="0"/>
          <w:sz w:val="21"/>
          <w:szCs w:val="20"/>
          <w:lang w:val="en-US" w:eastAsia="zh-CN" w:bidi="ar-SA"/>
        </w:rPr>
        <w:t>有毒</w:t>
      </w:r>
      <w:r>
        <w:rPr>
          <w:rFonts w:hint="default" w:ascii="宋体" w:hAnsi="Times New Roman" w:eastAsia="宋体" w:cs="Times New Roman"/>
          <w:color w:val="000000"/>
          <w:kern w:val="0"/>
          <w:sz w:val="21"/>
          <w:szCs w:val="20"/>
          <w:lang w:val="en-US" w:eastAsia="zh-CN" w:bidi="ar-SA"/>
        </w:rPr>
        <w:t>、</w:t>
      </w:r>
      <w:r>
        <w:rPr>
          <w:rFonts w:hint="eastAsia" w:ascii="宋体" w:hAnsi="Times New Roman" w:eastAsia="宋体" w:cs="Times New Roman"/>
          <w:color w:val="000000"/>
          <w:kern w:val="0"/>
          <w:sz w:val="21"/>
          <w:szCs w:val="20"/>
          <w:lang w:val="en-US" w:eastAsia="zh-CN" w:bidi="ar-SA"/>
        </w:rPr>
        <w:t>有异味的物品</w:t>
      </w:r>
      <w:r>
        <w:rPr>
          <w:rFonts w:hint="eastAsia" w:ascii="宋体" w:hAnsi="Times New Roman" w:cs="Times New Roman"/>
          <w:color w:val="000000"/>
          <w:kern w:val="0"/>
          <w:sz w:val="21"/>
          <w:szCs w:val="20"/>
          <w:lang w:val="en-US" w:eastAsia="zh-CN" w:bidi="ar-SA"/>
        </w:rPr>
        <w:t>和</w:t>
      </w:r>
      <w:r>
        <w:rPr>
          <w:rFonts w:hint="eastAsia" w:ascii="宋体" w:hAnsi="Times New Roman" w:eastAsia="宋体" w:cs="Times New Roman"/>
          <w:color w:val="000000"/>
          <w:kern w:val="0"/>
          <w:sz w:val="21"/>
          <w:szCs w:val="20"/>
          <w:lang w:val="en-US" w:eastAsia="zh-CN" w:bidi="ar-SA"/>
        </w:rPr>
        <w:t>其他果蔬等产品混运，运输过程三忌：忌强光、忌湿、忌混。</w:t>
      </w:r>
    </w:p>
    <w:p>
      <w:pPr>
        <w:pStyle w:val="104"/>
        <w:spacing w:before="312" w:after="312"/>
      </w:pPr>
      <w:bookmarkStart w:id="43" w:name="_Toc27128835"/>
      <w:r>
        <w:rPr>
          <w:rFonts w:hint="eastAsia"/>
        </w:rPr>
        <w:t>生产档案记录</w:t>
      </w:r>
      <w:bookmarkEnd w:id="43"/>
    </w:p>
    <w:p>
      <w:pPr>
        <w:pStyle w:val="56"/>
        <w:ind w:firstLine="420"/>
      </w:pPr>
      <w:r>
        <w:t>详细记录产地环境条件、生产技术、病虫害发生及防治、采收及采后处理等各环节所采取的具体措施</w:t>
      </w:r>
      <w:r>
        <w:rPr>
          <w:rFonts w:hint="eastAsia"/>
        </w:rPr>
        <w:t>，</w:t>
      </w:r>
      <w:r>
        <w:rPr>
          <w:rFonts w:hint="eastAsia" w:hAnsi="宋体"/>
        </w:rPr>
        <w:t>参见附录B。</w:t>
      </w: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199" w:firstLineChars="95"/>
      </w:pPr>
    </w:p>
    <w:p>
      <w:pPr>
        <w:pStyle w:val="56"/>
        <w:ind w:firstLine="199" w:firstLineChars="95"/>
      </w:pPr>
    </w:p>
    <w:p>
      <w:pPr>
        <w:pStyle w:val="56"/>
        <w:ind w:firstLine="199" w:firstLineChars="95"/>
      </w:pPr>
    </w:p>
    <w:p>
      <w:pPr>
        <w:pStyle w:val="56"/>
        <w:ind w:firstLine="199" w:firstLineChars="95"/>
        <w:sectPr>
          <w:headerReference r:id="rId15" w:type="default"/>
          <w:footerReference r:id="rId17" w:type="default"/>
          <w:headerReference r:id="rId16" w:type="even"/>
          <w:footerReference r:id="rId18" w:type="even"/>
          <w:pgSz w:w="11906" w:h="16838"/>
          <w:pgMar w:top="1871" w:right="1134" w:bottom="1134" w:left="1134" w:header="1418" w:footer="1134" w:gutter="284"/>
          <w:pgNumType w:start="1"/>
          <w:cols w:space="425" w:num="1"/>
          <w:formProt w:val="0"/>
          <w:docGrid w:type="lines" w:linePitch="312" w:charSpace="0"/>
        </w:sectPr>
      </w:pPr>
    </w:p>
    <w:bookmarkEnd w:id="22"/>
    <w:p>
      <w:pPr>
        <w:pStyle w:val="198"/>
      </w:pPr>
      <w:bookmarkStart w:id="44" w:name="BookMark5"/>
    </w:p>
    <w:p>
      <w:pPr>
        <w:pStyle w:val="199"/>
      </w:pPr>
    </w:p>
    <w:p>
      <w:pPr>
        <w:pStyle w:val="76"/>
        <w:spacing w:before="78" w:after="156"/>
      </w:pPr>
      <w:r>
        <w:br w:type="textWrapping"/>
      </w:r>
      <w:r>
        <w:rPr>
          <w:rFonts w:hint="eastAsia"/>
        </w:rPr>
        <w:t>（资料性）</w:t>
      </w:r>
      <w:r>
        <w:br w:type="textWrapping"/>
      </w:r>
      <w:r>
        <w:rPr>
          <w:rFonts w:hint="eastAsia"/>
        </w:rPr>
        <w:t>马铃薯主要病虫害化学药剂防控方法</w:t>
      </w:r>
    </w:p>
    <w:p>
      <w:pPr>
        <w:pStyle w:val="56"/>
        <w:ind w:firstLine="420"/>
      </w:pPr>
      <w:r>
        <w:rPr>
          <w:rFonts w:hint="eastAsia"/>
        </w:rPr>
        <w:t>表A</w:t>
      </w:r>
      <w:r>
        <w:t>.</w:t>
      </w:r>
      <w:r>
        <w:rPr>
          <w:rFonts w:hint="eastAsia"/>
        </w:rPr>
        <w:t>1给出了马铃薯主要病虫害化学药剂防控方法。</w:t>
      </w:r>
    </w:p>
    <w:p>
      <w:pPr>
        <w:pStyle w:val="239"/>
        <w:numPr>
          <w:ilvl w:val="1"/>
          <w:numId w:val="32"/>
        </w:numPr>
        <w:spacing w:before="156" w:after="156"/>
        <w:ind w:left="0" w:firstLine="0"/>
      </w:pPr>
      <w:r>
        <w:rPr>
          <w:rFonts w:hint="eastAsia"/>
        </w:rPr>
        <w:t>马铃薯主要病虫害化学药剂防控方法</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1"/>
        <w:gridCol w:w="1934"/>
        <w:gridCol w:w="3311"/>
        <w:gridCol w:w="25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tcBorders>
              <w:top w:val="single" w:color="auto" w:sz="8" w:space="0"/>
              <w:bottom w:val="single" w:color="auto" w:sz="8" w:space="0"/>
              <w:righ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防治</w:t>
            </w:r>
          </w:p>
          <w:p>
            <w:pPr>
              <w:spacing w:line="240" w:lineRule="auto"/>
              <w:jc w:val="center"/>
              <w:rPr>
                <w:rFonts w:ascii="宋体" w:hAnsi="宋体"/>
                <w:sz w:val="18"/>
                <w:szCs w:val="18"/>
              </w:rPr>
            </w:pPr>
            <w:r>
              <w:rPr>
                <w:rFonts w:hint="eastAsia" w:ascii="宋体" w:hAnsi="宋体"/>
                <w:sz w:val="18"/>
                <w:szCs w:val="18"/>
              </w:rPr>
              <w:t>对象</w:t>
            </w:r>
          </w:p>
        </w:tc>
        <w:tc>
          <w:tcPr>
            <w:tcW w:w="1934" w:type="dxa"/>
            <w:tcBorders>
              <w:top w:val="single" w:color="auto" w:sz="8" w:space="0"/>
              <w:left w:val="single" w:color="auto" w:sz="8" w:space="0"/>
              <w:bottom w:val="single" w:color="auto" w:sz="8" w:space="0"/>
              <w:righ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发生时期</w:t>
            </w:r>
          </w:p>
        </w:tc>
        <w:tc>
          <w:tcPr>
            <w:tcW w:w="3311" w:type="dxa"/>
            <w:tcBorders>
              <w:top w:val="single" w:color="auto" w:sz="8" w:space="0"/>
              <w:left w:val="single" w:color="auto" w:sz="8" w:space="0"/>
              <w:bottom w:val="single" w:color="auto" w:sz="8" w:space="0"/>
              <w:righ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推荐药剂及使用浓度（667m</w:t>
            </w:r>
            <w:r>
              <w:rPr>
                <w:rFonts w:hint="eastAsia" w:ascii="宋体" w:hAnsi="宋体"/>
                <w:sz w:val="18"/>
                <w:szCs w:val="18"/>
                <w:vertAlign w:val="superscript"/>
              </w:rPr>
              <w:t>2</w:t>
            </w:r>
            <w:r>
              <w:rPr>
                <w:rFonts w:hint="eastAsia" w:ascii="宋体" w:hAnsi="宋体"/>
                <w:sz w:val="18"/>
                <w:szCs w:val="18"/>
              </w:rPr>
              <w:t>用量）</w:t>
            </w:r>
          </w:p>
        </w:tc>
        <w:tc>
          <w:tcPr>
            <w:tcW w:w="2533" w:type="dxa"/>
            <w:tcBorders>
              <w:top w:val="single" w:color="auto" w:sz="8" w:space="0"/>
              <w:left w:val="single" w:color="auto" w:sz="8" w:space="0"/>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注意事项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91" w:type="dxa"/>
            <w:vMerge w:val="restart"/>
            <w:tcBorders>
              <w:top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早疫病</w:t>
            </w:r>
          </w:p>
        </w:tc>
        <w:tc>
          <w:tcPr>
            <w:tcW w:w="1934" w:type="dxa"/>
            <w:vMerge w:val="restart"/>
            <w:tcBorders>
              <w:top w:val="single" w:color="auto" w:sz="8" w:space="0"/>
            </w:tcBorders>
            <w:vAlign w:val="center"/>
          </w:tcPr>
          <w:p>
            <w:pPr>
              <w:spacing w:line="240" w:lineRule="auto"/>
              <w:jc w:val="left"/>
              <w:rPr>
                <w:rFonts w:ascii="宋体" w:hAnsi="宋体"/>
                <w:sz w:val="18"/>
                <w:szCs w:val="18"/>
              </w:rPr>
            </w:pPr>
            <w:r>
              <w:rPr>
                <w:rFonts w:hint="eastAsia" w:ascii="宋体" w:hAnsi="宋体"/>
                <w:color w:val="000000"/>
                <w:sz w:val="18"/>
                <w:szCs w:val="18"/>
              </w:rPr>
              <w:t>病害发生于植株生长中后期，主要危害叶片，也可侵染茎和块茎。</w:t>
            </w:r>
          </w:p>
        </w:tc>
        <w:tc>
          <w:tcPr>
            <w:tcW w:w="3311" w:type="dxa"/>
            <w:tcBorders>
              <w:top w:val="single" w:color="auto" w:sz="8" w:space="0"/>
              <w:bottom w:val="single" w:color="auto" w:sz="4" w:space="0"/>
            </w:tcBorders>
            <w:vAlign w:val="center"/>
          </w:tcPr>
          <w:p>
            <w:pPr>
              <w:spacing w:line="240" w:lineRule="auto"/>
              <w:jc w:val="left"/>
              <w:rPr>
                <w:rFonts w:ascii="宋体" w:hAnsi="宋体"/>
                <w:sz w:val="18"/>
                <w:szCs w:val="18"/>
              </w:rPr>
            </w:pPr>
            <w:r>
              <w:rPr>
                <w:rFonts w:hint="eastAsia" w:ascii="宋体" w:hAnsi="宋体"/>
                <w:sz w:val="18"/>
                <w:szCs w:val="18"/>
              </w:rPr>
              <w:t>75％百菌清悬浮剂600</w:t>
            </w:r>
            <w:r>
              <w:rPr>
                <w:rFonts w:ascii="宋体" w:hAnsi="宋体"/>
                <w:sz w:val="18"/>
                <w:szCs w:val="18"/>
              </w:rPr>
              <w:t>～</w:t>
            </w:r>
            <w:r>
              <w:rPr>
                <w:rFonts w:hint="eastAsia" w:ascii="宋体" w:hAnsi="宋体"/>
                <w:sz w:val="18"/>
                <w:szCs w:val="18"/>
              </w:rPr>
              <w:t>800倍液</w:t>
            </w:r>
          </w:p>
        </w:tc>
        <w:tc>
          <w:tcPr>
            <w:tcW w:w="2533" w:type="dxa"/>
            <w:vMerge w:val="restart"/>
            <w:tcBorders>
              <w:top w:val="single" w:color="auto" w:sz="8" w:space="0"/>
            </w:tcBorders>
            <w:vAlign w:val="center"/>
          </w:tcPr>
          <w:p>
            <w:pPr>
              <w:spacing w:line="240" w:lineRule="auto"/>
              <w:jc w:val="left"/>
              <w:rPr>
                <w:rFonts w:ascii="宋体" w:hAnsi="宋体"/>
                <w:sz w:val="18"/>
                <w:szCs w:val="18"/>
              </w:rPr>
            </w:pPr>
            <w:r>
              <w:rPr>
                <w:rFonts w:hint="eastAsia" w:ascii="宋体" w:hAnsi="宋体"/>
                <w:sz w:val="18"/>
                <w:szCs w:val="18"/>
              </w:rPr>
              <w:t>马铃薯封行或者发病初期，间隔5</w:t>
            </w:r>
            <w:r>
              <w:rPr>
                <w:rFonts w:hint="eastAsia" w:ascii="宋体" w:hAnsi="宋体"/>
                <w:sz w:val="18"/>
                <w:szCs w:val="18"/>
                <w:vertAlign w:val="superscript"/>
              </w:rPr>
              <w:t xml:space="preserve"> </w:t>
            </w:r>
            <w:r>
              <w:rPr>
                <w:rFonts w:hint="eastAsia" w:ascii="宋体" w:hAnsi="宋体"/>
                <w:sz w:val="18"/>
                <w:szCs w:val="18"/>
              </w:rPr>
              <w:t>d</w:t>
            </w:r>
            <w:r>
              <w:rPr>
                <w:rFonts w:ascii="宋体" w:hAnsi="宋体"/>
                <w:sz w:val="18"/>
                <w:szCs w:val="18"/>
              </w:rPr>
              <w:t>～</w:t>
            </w:r>
            <w:r>
              <w:rPr>
                <w:rFonts w:hint="eastAsia" w:ascii="宋体" w:hAnsi="宋体"/>
                <w:sz w:val="18"/>
                <w:szCs w:val="18"/>
              </w:rPr>
              <w:t>7</w:t>
            </w:r>
            <w:r>
              <w:rPr>
                <w:rFonts w:hint="eastAsia" w:ascii="宋体" w:hAnsi="宋体"/>
                <w:sz w:val="18"/>
                <w:szCs w:val="18"/>
                <w:vertAlign w:val="superscript"/>
              </w:rPr>
              <w:t xml:space="preserve"> </w:t>
            </w:r>
            <w:r>
              <w:rPr>
                <w:rFonts w:hint="eastAsia" w:ascii="宋体" w:hAnsi="宋体"/>
                <w:sz w:val="18"/>
                <w:szCs w:val="18"/>
              </w:rPr>
              <w:t>d喷一次，连续防治2</w:t>
            </w:r>
            <w:r>
              <w:rPr>
                <w:rFonts w:ascii="宋体" w:hAnsi="宋体"/>
                <w:sz w:val="18"/>
                <w:szCs w:val="18"/>
              </w:rPr>
              <w:t>～</w:t>
            </w:r>
            <w:r>
              <w:rPr>
                <w:rFonts w:hint="eastAsia" w:ascii="宋体" w:hAnsi="宋体"/>
                <w:sz w:val="18"/>
                <w:szCs w:val="18"/>
              </w:rPr>
              <w:t>3次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91" w:type="dxa"/>
            <w:vMerge w:val="continue"/>
            <w:vAlign w:val="center"/>
          </w:tcPr>
          <w:p>
            <w:pPr>
              <w:spacing w:line="240" w:lineRule="auto"/>
              <w:jc w:val="center"/>
              <w:rPr>
                <w:rFonts w:ascii="宋体" w:hAnsi="宋体"/>
                <w:sz w:val="18"/>
                <w:szCs w:val="18"/>
              </w:rPr>
            </w:pPr>
          </w:p>
        </w:tc>
        <w:tc>
          <w:tcPr>
            <w:tcW w:w="1934" w:type="dxa"/>
            <w:vMerge w:val="continue"/>
            <w:vAlign w:val="center"/>
          </w:tcPr>
          <w:p>
            <w:pPr>
              <w:spacing w:line="240" w:lineRule="auto"/>
              <w:jc w:val="left"/>
              <w:rPr>
                <w:rFonts w:ascii="宋体" w:hAnsi="宋体"/>
                <w:color w:val="000000"/>
                <w:sz w:val="18"/>
                <w:szCs w:val="18"/>
              </w:rPr>
            </w:pPr>
          </w:p>
        </w:tc>
        <w:tc>
          <w:tcPr>
            <w:tcW w:w="3311" w:type="dxa"/>
            <w:tcBorders>
              <w:top w:val="single" w:color="auto" w:sz="4" w:space="0"/>
              <w:bottom w:val="single" w:color="auto" w:sz="4" w:space="0"/>
            </w:tcBorders>
            <w:vAlign w:val="center"/>
          </w:tcPr>
          <w:p>
            <w:pPr>
              <w:spacing w:line="240" w:lineRule="auto"/>
              <w:jc w:val="left"/>
              <w:rPr>
                <w:rFonts w:ascii="宋体" w:hAnsi="宋体"/>
                <w:sz w:val="18"/>
                <w:szCs w:val="18"/>
              </w:rPr>
            </w:pPr>
            <w:r>
              <w:rPr>
                <w:rFonts w:hint="eastAsia" w:ascii="宋体" w:hAnsi="宋体"/>
                <w:sz w:val="18"/>
                <w:szCs w:val="18"/>
              </w:rPr>
              <w:t>70％丙森锌可湿性粉剂400</w:t>
            </w:r>
            <w:r>
              <w:rPr>
                <w:rFonts w:ascii="宋体" w:hAnsi="宋体"/>
                <w:sz w:val="18"/>
                <w:szCs w:val="18"/>
              </w:rPr>
              <w:t>～</w:t>
            </w:r>
            <w:r>
              <w:rPr>
                <w:rFonts w:hint="eastAsia" w:ascii="宋体" w:hAnsi="宋体"/>
                <w:sz w:val="18"/>
                <w:szCs w:val="18"/>
              </w:rPr>
              <w:t>600倍液</w:t>
            </w:r>
          </w:p>
        </w:tc>
        <w:tc>
          <w:tcPr>
            <w:tcW w:w="2533"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91" w:type="dxa"/>
            <w:vMerge w:val="continue"/>
            <w:vAlign w:val="center"/>
          </w:tcPr>
          <w:p>
            <w:pPr>
              <w:spacing w:line="240" w:lineRule="auto"/>
              <w:jc w:val="center"/>
              <w:rPr>
                <w:rFonts w:ascii="宋体" w:hAnsi="宋体"/>
                <w:sz w:val="18"/>
                <w:szCs w:val="18"/>
              </w:rPr>
            </w:pPr>
          </w:p>
        </w:tc>
        <w:tc>
          <w:tcPr>
            <w:tcW w:w="1934" w:type="dxa"/>
            <w:vMerge w:val="continue"/>
            <w:vAlign w:val="center"/>
          </w:tcPr>
          <w:p>
            <w:pPr>
              <w:spacing w:line="240" w:lineRule="auto"/>
              <w:jc w:val="left"/>
              <w:rPr>
                <w:rFonts w:ascii="宋体" w:hAnsi="宋体"/>
                <w:sz w:val="18"/>
                <w:szCs w:val="18"/>
              </w:rPr>
            </w:pPr>
          </w:p>
        </w:tc>
        <w:tc>
          <w:tcPr>
            <w:tcW w:w="3311" w:type="dxa"/>
            <w:tcBorders>
              <w:top w:val="single" w:color="auto" w:sz="4" w:space="0"/>
            </w:tcBorders>
            <w:vAlign w:val="center"/>
          </w:tcPr>
          <w:p>
            <w:pPr>
              <w:spacing w:line="240" w:lineRule="auto"/>
              <w:jc w:val="left"/>
              <w:rPr>
                <w:rFonts w:ascii="宋体" w:hAnsi="宋体"/>
                <w:sz w:val="18"/>
                <w:szCs w:val="18"/>
                <w:vertAlign w:val="superscript"/>
              </w:rPr>
            </w:pPr>
            <w:r>
              <w:rPr>
                <w:rFonts w:hint="eastAsia" w:ascii="宋体" w:hAnsi="宋体"/>
                <w:sz w:val="18"/>
                <w:szCs w:val="18"/>
              </w:rPr>
              <w:t>25％肟菌·戊唑醇水分分散剂15</w:t>
            </w:r>
            <w:r>
              <w:rPr>
                <w:rFonts w:hint="eastAsia" w:ascii="宋体" w:hAnsi="宋体"/>
                <w:sz w:val="18"/>
                <w:szCs w:val="18"/>
                <w:vertAlign w:val="superscript"/>
              </w:rPr>
              <w:t xml:space="preserve"> </w:t>
            </w:r>
            <w:r>
              <w:rPr>
                <w:rFonts w:hint="eastAsia" w:ascii="宋体" w:hAnsi="宋体"/>
                <w:sz w:val="18"/>
                <w:szCs w:val="18"/>
              </w:rPr>
              <w:t>g/667m</w:t>
            </w:r>
            <w:r>
              <w:rPr>
                <w:rFonts w:hint="eastAsia" w:ascii="宋体" w:hAnsi="宋体"/>
                <w:sz w:val="18"/>
                <w:szCs w:val="18"/>
                <w:vertAlign w:val="superscript"/>
              </w:rPr>
              <w:t>2</w:t>
            </w:r>
            <w:r>
              <w:rPr>
                <w:rFonts w:ascii="宋体" w:hAnsi="宋体"/>
                <w:sz w:val="18"/>
                <w:szCs w:val="18"/>
              </w:rPr>
              <w:t>～</w:t>
            </w:r>
            <w:r>
              <w:rPr>
                <w:rFonts w:hint="eastAsia" w:ascii="宋体" w:hAnsi="宋体"/>
                <w:sz w:val="18"/>
                <w:szCs w:val="18"/>
              </w:rPr>
              <w:t>20</w:t>
            </w:r>
            <w:r>
              <w:rPr>
                <w:rFonts w:hint="eastAsia" w:ascii="宋体" w:hAnsi="宋体"/>
                <w:sz w:val="18"/>
                <w:szCs w:val="18"/>
                <w:vertAlign w:val="superscript"/>
              </w:rPr>
              <w:t xml:space="preserve"> </w:t>
            </w:r>
            <w:r>
              <w:rPr>
                <w:rFonts w:hint="eastAsia" w:ascii="宋体" w:hAnsi="宋体"/>
                <w:sz w:val="18"/>
                <w:szCs w:val="18"/>
              </w:rPr>
              <w:t>g/667m</w:t>
            </w:r>
            <w:r>
              <w:rPr>
                <w:rFonts w:hint="eastAsia" w:ascii="宋体" w:hAnsi="宋体"/>
                <w:sz w:val="18"/>
                <w:szCs w:val="18"/>
                <w:vertAlign w:val="superscript"/>
              </w:rPr>
              <w:t>2</w:t>
            </w:r>
          </w:p>
        </w:tc>
        <w:tc>
          <w:tcPr>
            <w:tcW w:w="2533"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891" w:type="dxa"/>
            <w:vMerge w:val="restart"/>
            <w:vAlign w:val="center"/>
          </w:tcPr>
          <w:p>
            <w:pPr>
              <w:spacing w:line="240" w:lineRule="auto"/>
              <w:jc w:val="center"/>
              <w:rPr>
                <w:rFonts w:ascii="宋体" w:hAnsi="宋体"/>
                <w:sz w:val="18"/>
                <w:szCs w:val="18"/>
              </w:rPr>
            </w:pPr>
            <w:r>
              <w:rPr>
                <w:rFonts w:hint="eastAsia" w:ascii="宋体" w:hAnsi="宋体"/>
                <w:sz w:val="18"/>
                <w:szCs w:val="18"/>
              </w:rPr>
              <w:t>晚疫病</w:t>
            </w:r>
          </w:p>
        </w:tc>
        <w:tc>
          <w:tcPr>
            <w:tcW w:w="1934" w:type="dxa"/>
            <w:vMerge w:val="restart"/>
            <w:vAlign w:val="center"/>
          </w:tcPr>
          <w:p>
            <w:pPr>
              <w:spacing w:line="240" w:lineRule="auto"/>
              <w:jc w:val="left"/>
              <w:rPr>
                <w:rFonts w:ascii="宋体" w:hAnsi="宋体"/>
                <w:sz w:val="18"/>
                <w:szCs w:val="18"/>
              </w:rPr>
            </w:pPr>
            <w:r>
              <w:rPr>
                <w:rFonts w:hint="eastAsia" w:ascii="宋体" w:hAnsi="宋体"/>
                <w:color w:val="000000"/>
                <w:sz w:val="18"/>
                <w:szCs w:val="18"/>
              </w:rPr>
              <w:t>空气相对湿度100％，温度21℃时，最适宜发病，主要影响叶片、块茎、薯块。</w:t>
            </w:r>
          </w:p>
        </w:tc>
        <w:tc>
          <w:tcPr>
            <w:tcW w:w="3311" w:type="dxa"/>
            <w:vAlign w:val="center"/>
          </w:tcPr>
          <w:p>
            <w:pPr>
              <w:spacing w:line="240" w:lineRule="auto"/>
              <w:jc w:val="left"/>
              <w:rPr>
                <w:rFonts w:ascii="宋体" w:hAnsi="宋体"/>
                <w:sz w:val="18"/>
                <w:szCs w:val="18"/>
              </w:rPr>
            </w:pPr>
            <w:r>
              <w:rPr>
                <w:rFonts w:hint="eastAsia" w:ascii="宋体" w:hAnsi="宋体"/>
                <w:sz w:val="18"/>
                <w:szCs w:val="18"/>
              </w:rPr>
              <w:t>80％代森锰锌可湿性粉剂500</w:t>
            </w:r>
            <w:r>
              <w:rPr>
                <w:rFonts w:ascii="宋体" w:hAnsi="宋体"/>
                <w:sz w:val="18"/>
                <w:szCs w:val="18"/>
              </w:rPr>
              <w:t>～</w:t>
            </w:r>
            <w:r>
              <w:rPr>
                <w:rFonts w:hint="eastAsia" w:ascii="宋体" w:hAnsi="宋体"/>
                <w:sz w:val="18"/>
                <w:szCs w:val="18"/>
              </w:rPr>
              <w:t>600倍液</w:t>
            </w:r>
          </w:p>
        </w:tc>
        <w:tc>
          <w:tcPr>
            <w:tcW w:w="2533" w:type="dxa"/>
            <w:vMerge w:val="restart"/>
            <w:vAlign w:val="center"/>
          </w:tcPr>
          <w:p>
            <w:pPr>
              <w:spacing w:line="240" w:lineRule="auto"/>
              <w:jc w:val="left"/>
              <w:rPr>
                <w:rFonts w:ascii="宋体" w:hAnsi="宋体"/>
                <w:sz w:val="18"/>
                <w:szCs w:val="18"/>
              </w:rPr>
            </w:pPr>
            <w:r>
              <w:rPr>
                <w:rFonts w:hint="eastAsia" w:ascii="宋体" w:hAnsi="宋体"/>
                <w:sz w:val="18"/>
                <w:szCs w:val="18"/>
              </w:rPr>
              <w:t>当日平均气温在10℃</w:t>
            </w:r>
            <w:r>
              <w:rPr>
                <w:rFonts w:ascii="宋体" w:hAnsi="宋体"/>
                <w:sz w:val="18"/>
                <w:szCs w:val="18"/>
              </w:rPr>
              <w:t>～</w:t>
            </w:r>
            <w:r>
              <w:rPr>
                <w:rFonts w:hint="eastAsia" w:ascii="宋体" w:hAnsi="宋体"/>
                <w:sz w:val="18"/>
                <w:szCs w:val="18"/>
              </w:rPr>
              <w:t>25℃、空气相对湿度保持在80％以上持续3</w:t>
            </w:r>
            <w:r>
              <w:rPr>
                <w:rFonts w:hint="eastAsia" w:ascii="宋体" w:hAnsi="宋体"/>
                <w:sz w:val="18"/>
                <w:szCs w:val="18"/>
                <w:vertAlign w:val="superscript"/>
              </w:rPr>
              <w:t xml:space="preserve"> </w:t>
            </w:r>
            <w:r>
              <w:rPr>
                <w:rFonts w:hint="eastAsia" w:ascii="宋体" w:hAnsi="宋体"/>
                <w:sz w:val="18"/>
                <w:szCs w:val="18"/>
              </w:rPr>
              <w:t>d以上，茎叶喷施保护性杀菌剂；开始封行或发现中心病株后，茎叶喷施治疗性药剂。</w:t>
            </w:r>
          </w:p>
          <w:p>
            <w:pPr>
              <w:spacing w:line="240" w:lineRule="auto"/>
              <w:jc w:val="left"/>
              <w:rPr>
                <w:rFonts w:ascii="宋体" w:hAnsi="宋体"/>
                <w:sz w:val="18"/>
                <w:szCs w:val="18"/>
              </w:rPr>
            </w:pPr>
            <w:r>
              <w:rPr>
                <w:rFonts w:hint="eastAsia" w:ascii="宋体" w:hAnsi="宋体"/>
                <w:sz w:val="18"/>
                <w:szCs w:val="18"/>
              </w:rPr>
              <w:t>正常天气条件下间隔</w:t>
            </w:r>
            <w:r>
              <w:rPr>
                <w:rFonts w:ascii="宋体" w:hAnsi="宋体"/>
                <w:sz w:val="18"/>
                <w:szCs w:val="18"/>
              </w:rPr>
              <w:t>7</w:t>
            </w:r>
            <w:r>
              <w:rPr>
                <w:rFonts w:hint="eastAsia" w:ascii="MS Gothic" w:hAnsi="MS Gothic" w:eastAsia="MS Gothic" w:cs="MS Gothic"/>
                <w:sz w:val="18"/>
                <w:szCs w:val="18"/>
              </w:rPr>
              <w:t> </w:t>
            </w:r>
            <w:r>
              <w:rPr>
                <w:rFonts w:hint="eastAsia" w:ascii="宋体" w:hAnsi="宋体"/>
                <w:sz w:val="18"/>
                <w:szCs w:val="18"/>
              </w:rPr>
              <w:t>d</w:t>
            </w:r>
            <w:r>
              <w:rPr>
                <w:rFonts w:ascii="宋体" w:hAnsi="宋体"/>
                <w:sz w:val="18"/>
                <w:szCs w:val="18"/>
              </w:rPr>
              <w:t>～10</w:t>
            </w:r>
            <w:r>
              <w:rPr>
                <w:rFonts w:hint="eastAsia" w:ascii="MS Gothic" w:hAnsi="MS Gothic" w:eastAsia="MS Gothic" w:cs="MS Gothic"/>
                <w:sz w:val="18"/>
                <w:szCs w:val="18"/>
              </w:rPr>
              <w:t> </w:t>
            </w:r>
            <w:r>
              <w:rPr>
                <w:rFonts w:hint="eastAsia" w:ascii="宋体" w:hAnsi="宋体"/>
                <w:sz w:val="18"/>
                <w:szCs w:val="18"/>
              </w:rPr>
              <w:t>d喷一次，在高湿多雨条件下应间隔</w:t>
            </w:r>
            <w:r>
              <w:rPr>
                <w:rFonts w:ascii="宋体" w:hAnsi="宋体"/>
                <w:sz w:val="18"/>
                <w:szCs w:val="18"/>
              </w:rPr>
              <w:t>3</w:t>
            </w:r>
            <w:r>
              <w:rPr>
                <w:rFonts w:hint="eastAsia" w:ascii="MS Gothic" w:hAnsi="MS Gothic" w:eastAsia="MS Gothic" w:cs="MS Gothic"/>
                <w:sz w:val="18"/>
                <w:szCs w:val="18"/>
              </w:rPr>
              <w:t> </w:t>
            </w:r>
            <w:r>
              <w:rPr>
                <w:rFonts w:hint="eastAsia" w:ascii="宋体" w:hAnsi="宋体"/>
                <w:sz w:val="18"/>
                <w:szCs w:val="18"/>
              </w:rPr>
              <w:t>d</w:t>
            </w:r>
            <w:r>
              <w:rPr>
                <w:rFonts w:ascii="宋体" w:hAnsi="宋体"/>
                <w:sz w:val="18"/>
                <w:szCs w:val="18"/>
              </w:rPr>
              <w:t>～5</w:t>
            </w:r>
            <w:r>
              <w:rPr>
                <w:rFonts w:hint="eastAsia" w:ascii="MS Gothic" w:hAnsi="MS Gothic" w:eastAsia="MS Gothic" w:cs="MS Gothic"/>
                <w:sz w:val="18"/>
                <w:szCs w:val="18"/>
              </w:rPr>
              <w:t> </w:t>
            </w:r>
            <w:r>
              <w:rPr>
                <w:rFonts w:hint="eastAsia" w:ascii="宋体" w:hAnsi="宋体"/>
                <w:sz w:val="18"/>
                <w:szCs w:val="18"/>
              </w:rPr>
              <w:t>d喷一次，连续防治2</w:t>
            </w:r>
            <w:r>
              <w:rPr>
                <w:rFonts w:ascii="宋体" w:hAnsi="宋体"/>
                <w:sz w:val="18"/>
                <w:szCs w:val="18"/>
              </w:rPr>
              <w:t>～</w:t>
            </w:r>
            <w:r>
              <w:rPr>
                <w:rFonts w:hint="eastAsia" w:ascii="宋体" w:hAnsi="宋体"/>
                <w:sz w:val="18"/>
                <w:szCs w:val="18"/>
              </w:rPr>
              <w:t>4次。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91" w:type="dxa"/>
            <w:vMerge w:val="continue"/>
            <w:vAlign w:val="center"/>
          </w:tcPr>
          <w:p>
            <w:pPr>
              <w:spacing w:line="240" w:lineRule="auto"/>
              <w:jc w:val="center"/>
              <w:rPr>
                <w:rFonts w:ascii="宋体" w:hAnsi="宋体"/>
                <w:sz w:val="18"/>
                <w:szCs w:val="18"/>
              </w:rPr>
            </w:pPr>
          </w:p>
        </w:tc>
        <w:tc>
          <w:tcPr>
            <w:tcW w:w="1934" w:type="dxa"/>
            <w:vMerge w:val="continue"/>
            <w:vAlign w:val="center"/>
          </w:tcPr>
          <w:p>
            <w:pPr>
              <w:spacing w:line="240" w:lineRule="auto"/>
              <w:jc w:val="left"/>
              <w:rPr>
                <w:rFonts w:ascii="宋体" w:hAnsi="宋体"/>
                <w:sz w:val="18"/>
                <w:szCs w:val="18"/>
              </w:rPr>
            </w:pPr>
          </w:p>
        </w:tc>
        <w:tc>
          <w:tcPr>
            <w:tcW w:w="3311" w:type="dxa"/>
            <w:vAlign w:val="center"/>
          </w:tcPr>
          <w:p>
            <w:pPr>
              <w:spacing w:line="240" w:lineRule="auto"/>
              <w:jc w:val="left"/>
              <w:rPr>
                <w:rFonts w:ascii="宋体" w:hAnsi="宋体"/>
                <w:sz w:val="18"/>
                <w:szCs w:val="18"/>
              </w:rPr>
            </w:pPr>
            <w:r>
              <w:rPr>
                <w:rFonts w:hint="eastAsia" w:ascii="宋体" w:hAnsi="宋体"/>
                <w:sz w:val="18"/>
                <w:szCs w:val="18"/>
              </w:rPr>
              <w:t>58％甲霜灵·锰锌可湿性粉剂500倍液</w:t>
            </w:r>
          </w:p>
        </w:tc>
        <w:tc>
          <w:tcPr>
            <w:tcW w:w="2533"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891" w:type="dxa"/>
            <w:vMerge w:val="continue"/>
            <w:vAlign w:val="center"/>
          </w:tcPr>
          <w:p>
            <w:pPr>
              <w:spacing w:line="240" w:lineRule="auto"/>
              <w:jc w:val="center"/>
              <w:rPr>
                <w:rFonts w:ascii="宋体" w:hAnsi="宋体"/>
                <w:sz w:val="18"/>
                <w:szCs w:val="18"/>
              </w:rPr>
            </w:pPr>
          </w:p>
        </w:tc>
        <w:tc>
          <w:tcPr>
            <w:tcW w:w="1934" w:type="dxa"/>
            <w:vMerge w:val="continue"/>
            <w:vAlign w:val="center"/>
          </w:tcPr>
          <w:p>
            <w:pPr>
              <w:spacing w:line="240" w:lineRule="auto"/>
              <w:jc w:val="left"/>
              <w:rPr>
                <w:rFonts w:ascii="宋体" w:hAnsi="宋体"/>
                <w:sz w:val="18"/>
                <w:szCs w:val="18"/>
              </w:rPr>
            </w:pPr>
          </w:p>
        </w:tc>
        <w:tc>
          <w:tcPr>
            <w:tcW w:w="3311" w:type="dxa"/>
            <w:vAlign w:val="center"/>
          </w:tcPr>
          <w:p>
            <w:pPr>
              <w:spacing w:line="240" w:lineRule="auto"/>
              <w:jc w:val="left"/>
              <w:rPr>
                <w:rFonts w:ascii="宋体" w:hAnsi="宋体"/>
                <w:sz w:val="18"/>
                <w:szCs w:val="18"/>
              </w:rPr>
            </w:pPr>
            <w:r>
              <w:rPr>
                <w:rFonts w:hint="eastAsia" w:ascii="宋体" w:hAnsi="宋体"/>
                <w:sz w:val="18"/>
                <w:szCs w:val="18"/>
              </w:rPr>
              <w:t>50％烯酰吗啉可湿性粉剂800倍液</w:t>
            </w:r>
          </w:p>
        </w:tc>
        <w:tc>
          <w:tcPr>
            <w:tcW w:w="2533"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91" w:type="dxa"/>
            <w:vMerge w:val="continue"/>
            <w:tcBorders>
              <w:bottom w:val="single" w:color="auto" w:sz="4" w:space="0"/>
            </w:tcBorders>
            <w:vAlign w:val="center"/>
          </w:tcPr>
          <w:p>
            <w:pPr>
              <w:spacing w:line="240" w:lineRule="auto"/>
              <w:jc w:val="center"/>
              <w:rPr>
                <w:rFonts w:ascii="宋体" w:hAnsi="宋体"/>
                <w:sz w:val="18"/>
                <w:szCs w:val="18"/>
              </w:rPr>
            </w:pPr>
          </w:p>
        </w:tc>
        <w:tc>
          <w:tcPr>
            <w:tcW w:w="1934" w:type="dxa"/>
            <w:vMerge w:val="continue"/>
            <w:vAlign w:val="center"/>
          </w:tcPr>
          <w:p>
            <w:pPr>
              <w:spacing w:line="240" w:lineRule="auto"/>
              <w:jc w:val="left"/>
              <w:rPr>
                <w:rFonts w:ascii="宋体" w:hAnsi="宋体"/>
                <w:sz w:val="18"/>
                <w:szCs w:val="18"/>
              </w:rPr>
            </w:pPr>
          </w:p>
        </w:tc>
        <w:tc>
          <w:tcPr>
            <w:tcW w:w="3311" w:type="dxa"/>
            <w:vAlign w:val="center"/>
          </w:tcPr>
          <w:p>
            <w:pPr>
              <w:spacing w:line="240" w:lineRule="auto"/>
              <w:jc w:val="left"/>
              <w:rPr>
                <w:rFonts w:ascii="宋体" w:hAnsi="宋体"/>
                <w:sz w:val="18"/>
                <w:szCs w:val="18"/>
              </w:rPr>
            </w:pPr>
            <w:r>
              <w:rPr>
                <w:rFonts w:hint="eastAsia" w:ascii="宋体" w:hAnsi="宋体"/>
                <w:sz w:val="18"/>
                <w:szCs w:val="18"/>
              </w:rPr>
              <w:t>68.75％霜霉威·氟吡菌胺悬浮液800倍液</w:t>
            </w:r>
          </w:p>
        </w:tc>
        <w:tc>
          <w:tcPr>
            <w:tcW w:w="2533" w:type="dxa"/>
            <w:vMerge w:val="continue"/>
            <w:tcBorders>
              <w:bottom w:val="single" w:color="auto" w:sz="4" w:space="0"/>
            </w:tcBorders>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91" w:type="dxa"/>
            <w:vMerge w:val="restart"/>
            <w:tcBorders>
              <w:top w:val="single" w:color="auto" w:sz="4" w:space="0"/>
              <w:left w:val="single" w:color="auto" w:sz="8" w:space="0"/>
              <w:bottom w:val="single" w:color="auto" w:sz="4" w:space="0"/>
            </w:tcBorders>
            <w:vAlign w:val="center"/>
          </w:tcPr>
          <w:p>
            <w:pPr>
              <w:spacing w:line="240" w:lineRule="auto"/>
              <w:jc w:val="center"/>
              <w:rPr>
                <w:rFonts w:ascii="宋体" w:hAnsi="宋体"/>
                <w:sz w:val="18"/>
                <w:szCs w:val="18"/>
              </w:rPr>
            </w:pPr>
            <w:r>
              <w:rPr>
                <w:rFonts w:hint="eastAsia" w:ascii="宋体" w:hAnsi="宋体"/>
                <w:sz w:val="18"/>
                <w:szCs w:val="18"/>
              </w:rPr>
              <w:t>黑胫病</w:t>
            </w:r>
          </w:p>
        </w:tc>
        <w:tc>
          <w:tcPr>
            <w:tcW w:w="1934" w:type="dxa"/>
            <w:vMerge w:val="restart"/>
            <w:vAlign w:val="center"/>
          </w:tcPr>
          <w:p>
            <w:pPr>
              <w:spacing w:line="240" w:lineRule="auto"/>
              <w:jc w:val="left"/>
              <w:rPr>
                <w:rFonts w:ascii="宋体" w:hAnsi="宋体"/>
                <w:sz w:val="18"/>
                <w:szCs w:val="18"/>
              </w:rPr>
            </w:pPr>
            <w:r>
              <w:rPr>
                <w:rFonts w:ascii="宋体" w:hAnsi="宋体"/>
                <w:sz w:val="18"/>
                <w:szCs w:val="18"/>
              </w:rPr>
              <w:t>出苗后一星期可见病症，以开花后的半个月出现较多</w:t>
            </w:r>
            <w:r>
              <w:rPr>
                <w:rFonts w:hint="eastAsia" w:ascii="宋体" w:hAnsi="宋体"/>
                <w:sz w:val="18"/>
                <w:szCs w:val="18"/>
              </w:rPr>
              <w:t>，主要侵染茎和薯块。</w:t>
            </w:r>
          </w:p>
        </w:tc>
        <w:tc>
          <w:tcPr>
            <w:tcW w:w="3311" w:type="dxa"/>
            <w:vAlign w:val="center"/>
          </w:tcPr>
          <w:p>
            <w:pPr>
              <w:spacing w:line="240" w:lineRule="auto"/>
              <w:jc w:val="left"/>
              <w:rPr>
                <w:rFonts w:ascii="宋体" w:hAnsi="宋体"/>
                <w:sz w:val="18"/>
                <w:szCs w:val="18"/>
              </w:rPr>
            </w:pPr>
            <w:r>
              <w:rPr>
                <w:rFonts w:hint="eastAsia" w:ascii="宋体" w:hAnsi="宋体"/>
                <w:sz w:val="18"/>
                <w:szCs w:val="18"/>
              </w:rPr>
              <w:t>春雷氰氯铜悬浮液90</w:t>
            </w:r>
            <w:r>
              <w:rPr>
                <w:rFonts w:hint="eastAsia" w:ascii="宋体" w:hAnsi="宋体"/>
                <w:sz w:val="18"/>
                <w:szCs w:val="18"/>
                <w:vertAlign w:val="superscript"/>
              </w:rPr>
              <w:t xml:space="preserve"> </w:t>
            </w:r>
            <w:r>
              <w:rPr>
                <w:rFonts w:hint="eastAsia" w:ascii="宋体" w:hAnsi="宋体"/>
                <w:sz w:val="18"/>
                <w:szCs w:val="18"/>
              </w:rPr>
              <w:t>mL/667m</w:t>
            </w:r>
            <w:r>
              <w:rPr>
                <w:rFonts w:hint="eastAsia" w:ascii="宋体" w:hAnsi="宋体"/>
                <w:sz w:val="18"/>
                <w:szCs w:val="18"/>
                <w:vertAlign w:val="superscript"/>
              </w:rPr>
              <w:t>2</w:t>
            </w:r>
            <w:r>
              <w:rPr>
                <w:rFonts w:ascii="宋体" w:hAnsi="宋体"/>
                <w:sz w:val="18"/>
                <w:szCs w:val="18"/>
              </w:rPr>
              <w:t>～</w:t>
            </w:r>
            <w:r>
              <w:rPr>
                <w:rFonts w:hint="eastAsia" w:ascii="宋体" w:hAnsi="宋体"/>
                <w:sz w:val="18"/>
                <w:szCs w:val="18"/>
              </w:rPr>
              <w:t>120</w:t>
            </w:r>
            <w:r>
              <w:rPr>
                <w:rFonts w:hint="eastAsia" w:ascii="宋体" w:hAnsi="宋体"/>
                <w:sz w:val="18"/>
                <w:szCs w:val="18"/>
                <w:vertAlign w:val="superscript"/>
              </w:rPr>
              <w:t xml:space="preserve"> </w:t>
            </w:r>
            <w:r>
              <w:rPr>
                <w:rFonts w:hint="eastAsia" w:ascii="宋体" w:hAnsi="宋体"/>
                <w:sz w:val="18"/>
                <w:szCs w:val="18"/>
              </w:rPr>
              <w:t>mL/667m</w:t>
            </w:r>
            <w:r>
              <w:rPr>
                <w:rFonts w:hint="eastAsia" w:ascii="宋体" w:hAnsi="宋体"/>
                <w:sz w:val="18"/>
                <w:szCs w:val="18"/>
                <w:vertAlign w:val="superscript"/>
              </w:rPr>
              <w:t>2</w:t>
            </w:r>
          </w:p>
        </w:tc>
        <w:tc>
          <w:tcPr>
            <w:tcW w:w="2533" w:type="dxa"/>
            <w:vMerge w:val="restart"/>
            <w:tcBorders>
              <w:top w:val="single" w:color="auto" w:sz="4" w:space="0"/>
              <w:bottom w:val="single" w:color="auto" w:sz="4" w:space="0"/>
              <w:right w:val="single" w:color="auto" w:sz="8" w:space="0"/>
            </w:tcBorders>
            <w:vAlign w:val="center"/>
          </w:tcPr>
          <w:p>
            <w:pPr>
              <w:pStyle w:val="56"/>
              <w:ind w:firstLine="0" w:firstLineChars="0"/>
              <w:jc w:val="left"/>
              <w:rPr>
                <w:rFonts w:hAnsi="宋体"/>
                <w:sz w:val="18"/>
                <w:szCs w:val="18"/>
              </w:rPr>
            </w:pPr>
            <w:r>
              <w:rPr>
                <w:rFonts w:hint="eastAsia" w:hAnsi="宋体"/>
                <w:sz w:val="18"/>
                <w:szCs w:val="18"/>
              </w:rPr>
              <w:t>在雨后天晴或者发病初期，间隔</w:t>
            </w:r>
            <w:r>
              <w:rPr>
                <w:rFonts w:hAnsi="宋体"/>
                <w:sz w:val="18"/>
                <w:szCs w:val="18"/>
              </w:rPr>
              <w:t>3</w:t>
            </w:r>
            <w:r>
              <w:rPr>
                <w:rFonts w:hint="eastAsia" w:ascii="MS Gothic" w:hAnsi="MS Gothic" w:eastAsia="MS Gothic" w:cs="MS Gothic"/>
                <w:sz w:val="18"/>
                <w:szCs w:val="18"/>
              </w:rPr>
              <w:t> </w:t>
            </w:r>
            <w:r>
              <w:rPr>
                <w:rFonts w:hint="eastAsia" w:hAnsi="宋体"/>
                <w:sz w:val="18"/>
                <w:szCs w:val="18"/>
              </w:rPr>
              <w:t>d</w:t>
            </w:r>
            <w:r>
              <w:rPr>
                <w:rFonts w:hAnsi="宋体"/>
                <w:sz w:val="18"/>
                <w:szCs w:val="18"/>
              </w:rPr>
              <w:t>～5</w:t>
            </w:r>
            <w:r>
              <w:rPr>
                <w:rFonts w:hint="eastAsia" w:ascii="MS Gothic" w:hAnsi="MS Gothic" w:eastAsia="MS Gothic" w:cs="MS Gothic"/>
                <w:sz w:val="18"/>
                <w:szCs w:val="18"/>
              </w:rPr>
              <w:t> </w:t>
            </w:r>
            <w:r>
              <w:rPr>
                <w:rFonts w:hint="eastAsia" w:hAnsi="宋体"/>
                <w:sz w:val="18"/>
                <w:szCs w:val="18"/>
              </w:rPr>
              <w:t>d喷一次，连续防治3</w:t>
            </w:r>
            <w:r>
              <w:rPr>
                <w:rFonts w:hAnsi="宋体"/>
                <w:sz w:val="18"/>
                <w:szCs w:val="18"/>
              </w:rPr>
              <w:t>～</w:t>
            </w:r>
            <w:r>
              <w:rPr>
                <w:rFonts w:hint="eastAsia" w:hAnsi="宋体"/>
                <w:sz w:val="18"/>
                <w:szCs w:val="18"/>
              </w:rPr>
              <w:t>4次。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91" w:type="dxa"/>
            <w:vMerge w:val="continue"/>
            <w:tcBorders>
              <w:top w:val="single" w:color="auto" w:sz="4" w:space="0"/>
              <w:left w:val="single" w:color="auto" w:sz="8" w:space="0"/>
              <w:bottom w:val="single" w:color="auto" w:sz="4" w:space="0"/>
            </w:tcBorders>
            <w:vAlign w:val="center"/>
          </w:tcPr>
          <w:p>
            <w:pPr>
              <w:spacing w:line="240" w:lineRule="auto"/>
              <w:jc w:val="center"/>
              <w:rPr>
                <w:rFonts w:ascii="宋体" w:hAnsi="宋体"/>
                <w:sz w:val="18"/>
                <w:szCs w:val="18"/>
              </w:rPr>
            </w:pPr>
          </w:p>
        </w:tc>
        <w:tc>
          <w:tcPr>
            <w:tcW w:w="1934" w:type="dxa"/>
            <w:vMerge w:val="continue"/>
            <w:vAlign w:val="center"/>
          </w:tcPr>
          <w:p>
            <w:pPr>
              <w:spacing w:line="240" w:lineRule="auto"/>
              <w:jc w:val="left"/>
              <w:rPr>
                <w:rFonts w:ascii="宋体" w:hAnsi="宋体"/>
                <w:sz w:val="18"/>
                <w:szCs w:val="18"/>
              </w:rPr>
            </w:pPr>
          </w:p>
        </w:tc>
        <w:tc>
          <w:tcPr>
            <w:tcW w:w="3311" w:type="dxa"/>
            <w:vAlign w:val="center"/>
          </w:tcPr>
          <w:p>
            <w:pPr>
              <w:spacing w:line="240" w:lineRule="auto"/>
              <w:jc w:val="left"/>
              <w:rPr>
                <w:rFonts w:ascii="宋体" w:hAnsi="宋体"/>
                <w:sz w:val="18"/>
                <w:szCs w:val="18"/>
                <w:vertAlign w:val="superscript"/>
              </w:rPr>
            </w:pPr>
            <w:r>
              <w:rPr>
                <w:rFonts w:hint="eastAsia" w:ascii="宋体" w:hAnsi="宋体"/>
                <w:sz w:val="18"/>
                <w:szCs w:val="18"/>
              </w:rPr>
              <w:t>77％氢氧化铜可湿性粉剂25</w:t>
            </w:r>
            <w:r>
              <w:rPr>
                <w:rFonts w:hint="eastAsia" w:ascii="MS Gothic" w:hAnsi="MS Gothic" w:eastAsia="MS Gothic" w:cs="MS Gothic"/>
                <w:sz w:val="18"/>
                <w:szCs w:val="18"/>
              </w:rPr>
              <w:t> </w:t>
            </w:r>
            <w:r>
              <w:rPr>
                <w:rFonts w:hint="eastAsia" w:ascii="宋体" w:hAnsi="宋体"/>
                <w:sz w:val="18"/>
                <w:szCs w:val="18"/>
              </w:rPr>
              <w:t>g/667m</w:t>
            </w:r>
            <w:r>
              <w:rPr>
                <w:rFonts w:hint="eastAsia" w:ascii="宋体" w:hAnsi="宋体"/>
                <w:sz w:val="18"/>
                <w:szCs w:val="18"/>
                <w:vertAlign w:val="superscript"/>
              </w:rPr>
              <w:t>2</w:t>
            </w:r>
          </w:p>
          <w:p>
            <w:pPr>
              <w:spacing w:line="240" w:lineRule="auto"/>
              <w:jc w:val="left"/>
              <w:rPr>
                <w:rFonts w:ascii="宋体" w:hAnsi="宋体"/>
                <w:sz w:val="18"/>
                <w:szCs w:val="18"/>
              </w:rPr>
            </w:pPr>
            <w:r>
              <w:rPr>
                <w:rFonts w:ascii="宋体" w:hAnsi="宋体"/>
                <w:sz w:val="18"/>
                <w:szCs w:val="18"/>
              </w:rPr>
              <w:t>～</w:t>
            </w:r>
            <w:r>
              <w:rPr>
                <w:rFonts w:hint="eastAsia" w:ascii="宋体" w:hAnsi="宋体"/>
                <w:sz w:val="18"/>
                <w:szCs w:val="18"/>
              </w:rPr>
              <w:t>30</w:t>
            </w:r>
            <w:r>
              <w:rPr>
                <w:rFonts w:hint="eastAsia" w:ascii="MS Gothic" w:hAnsi="MS Gothic" w:eastAsia="MS Gothic" w:cs="MS Gothic"/>
                <w:sz w:val="18"/>
                <w:szCs w:val="18"/>
              </w:rPr>
              <w:t> </w:t>
            </w:r>
            <w:r>
              <w:rPr>
                <w:rFonts w:hint="eastAsia" w:ascii="宋体" w:hAnsi="宋体"/>
                <w:sz w:val="18"/>
                <w:szCs w:val="18"/>
              </w:rPr>
              <w:t>g/667m</w:t>
            </w:r>
            <w:r>
              <w:rPr>
                <w:rFonts w:hint="eastAsia" w:ascii="宋体" w:hAnsi="宋体"/>
                <w:sz w:val="18"/>
                <w:szCs w:val="18"/>
                <w:vertAlign w:val="superscript"/>
              </w:rPr>
              <w:t>2</w:t>
            </w:r>
          </w:p>
        </w:tc>
        <w:tc>
          <w:tcPr>
            <w:tcW w:w="2533" w:type="dxa"/>
            <w:vMerge w:val="continue"/>
            <w:tcBorders>
              <w:top w:val="single" w:color="auto" w:sz="4" w:space="0"/>
              <w:bottom w:val="single" w:color="auto" w:sz="4" w:space="0"/>
              <w:right w:val="single" w:color="auto" w:sz="8" w:space="0"/>
            </w:tcBorders>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91" w:type="dxa"/>
            <w:vMerge w:val="continue"/>
            <w:tcBorders>
              <w:top w:val="single" w:color="auto" w:sz="4" w:space="0"/>
              <w:left w:val="single" w:color="auto" w:sz="8" w:space="0"/>
              <w:bottom w:val="single" w:color="auto" w:sz="4" w:space="0"/>
            </w:tcBorders>
            <w:vAlign w:val="center"/>
          </w:tcPr>
          <w:p>
            <w:pPr>
              <w:spacing w:line="240" w:lineRule="auto"/>
              <w:jc w:val="center"/>
              <w:rPr>
                <w:rFonts w:ascii="宋体" w:hAnsi="宋体"/>
                <w:sz w:val="18"/>
                <w:szCs w:val="18"/>
              </w:rPr>
            </w:pPr>
          </w:p>
        </w:tc>
        <w:tc>
          <w:tcPr>
            <w:tcW w:w="1934" w:type="dxa"/>
            <w:vMerge w:val="continue"/>
            <w:vAlign w:val="center"/>
          </w:tcPr>
          <w:p>
            <w:pPr>
              <w:spacing w:line="240" w:lineRule="auto"/>
              <w:jc w:val="left"/>
              <w:rPr>
                <w:rFonts w:ascii="宋体" w:hAnsi="宋体"/>
                <w:sz w:val="18"/>
                <w:szCs w:val="18"/>
              </w:rPr>
            </w:pPr>
          </w:p>
        </w:tc>
        <w:tc>
          <w:tcPr>
            <w:tcW w:w="3311" w:type="dxa"/>
            <w:vAlign w:val="center"/>
          </w:tcPr>
          <w:p>
            <w:pPr>
              <w:spacing w:line="240" w:lineRule="auto"/>
              <w:jc w:val="left"/>
              <w:rPr>
                <w:rFonts w:ascii="宋体" w:hAnsi="宋体"/>
                <w:sz w:val="18"/>
                <w:szCs w:val="18"/>
                <w:vertAlign w:val="superscript"/>
              </w:rPr>
            </w:pPr>
            <w:r>
              <w:rPr>
                <w:rFonts w:hint="eastAsia" w:ascii="宋体" w:hAnsi="宋体"/>
                <w:sz w:val="18"/>
                <w:szCs w:val="18"/>
              </w:rPr>
              <w:t>20％龙克菌可湿性粉剂100</w:t>
            </w:r>
            <w:r>
              <w:rPr>
                <w:rFonts w:hint="eastAsia" w:ascii="MS Gothic" w:hAnsi="MS Gothic" w:eastAsia="MS Gothic" w:cs="MS Gothic"/>
                <w:sz w:val="18"/>
                <w:szCs w:val="18"/>
              </w:rPr>
              <w:t> </w:t>
            </w:r>
            <w:r>
              <w:rPr>
                <w:rFonts w:hint="eastAsia" w:ascii="宋体" w:hAnsi="宋体"/>
                <w:sz w:val="18"/>
                <w:szCs w:val="18"/>
              </w:rPr>
              <w:t>g/667m</w:t>
            </w:r>
            <w:r>
              <w:rPr>
                <w:rFonts w:hint="eastAsia" w:ascii="宋体" w:hAnsi="宋体"/>
                <w:sz w:val="18"/>
                <w:szCs w:val="18"/>
                <w:vertAlign w:val="superscript"/>
              </w:rPr>
              <w:t>2</w:t>
            </w:r>
          </w:p>
          <w:p>
            <w:pPr>
              <w:spacing w:line="240" w:lineRule="auto"/>
              <w:jc w:val="left"/>
              <w:rPr>
                <w:rFonts w:ascii="宋体" w:hAnsi="宋体"/>
                <w:sz w:val="18"/>
                <w:szCs w:val="18"/>
              </w:rPr>
            </w:pPr>
            <w:r>
              <w:rPr>
                <w:rFonts w:ascii="宋体" w:hAnsi="宋体"/>
                <w:sz w:val="18"/>
                <w:szCs w:val="18"/>
              </w:rPr>
              <w:t>～</w:t>
            </w:r>
            <w:r>
              <w:rPr>
                <w:rFonts w:hint="eastAsia" w:ascii="宋体" w:hAnsi="宋体"/>
                <w:sz w:val="18"/>
                <w:szCs w:val="18"/>
              </w:rPr>
              <w:t>125</w:t>
            </w:r>
            <w:r>
              <w:rPr>
                <w:rFonts w:hint="eastAsia" w:ascii="宋体" w:hAnsi="宋体"/>
                <w:sz w:val="18"/>
                <w:szCs w:val="18"/>
                <w:vertAlign w:val="superscript"/>
              </w:rPr>
              <w:t xml:space="preserve"> </w:t>
            </w:r>
            <w:r>
              <w:rPr>
                <w:rFonts w:hint="eastAsia" w:ascii="宋体" w:hAnsi="宋体"/>
                <w:sz w:val="18"/>
                <w:szCs w:val="18"/>
              </w:rPr>
              <w:t>g/667m</w:t>
            </w:r>
            <w:r>
              <w:rPr>
                <w:rFonts w:hint="eastAsia" w:ascii="宋体" w:hAnsi="宋体"/>
                <w:sz w:val="18"/>
                <w:szCs w:val="18"/>
                <w:vertAlign w:val="superscript"/>
              </w:rPr>
              <w:t>2</w:t>
            </w:r>
          </w:p>
        </w:tc>
        <w:tc>
          <w:tcPr>
            <w:tcW w:w="2533" w:type="dxa"/>
            <w:vMerge w:val="continue"/>
            <w:tcBorders>
              <w:top w:val="single" w:color="auto" w:sz="4" w:space="0"/>
              <w:bottom w:val="single" w:color="auto" w:sz="4" w:space="0"/>
              <w:right w:val="single" w:color="auto" w:sz="8" w:space="0"/>
            </w:tcBorders>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91" w:type="dxa"/>
            <w:vMerge w:val="continue"/>
            <w:tcBorders>
              <w:top w:val="single" w:color="auto" w:sz="4" w:space="0"/>
              <w:left w:val="single" w:color="auto" w:sz="8" w:space="0"/>
              <w:bottom w:val="single" w:color="auto" w:sz="4" w:space="0"/>
            </w:tcBorders>
            <w:vAlign w:val="center"/>
          </w:tcPr>
          <w:p>
            <w:pPr>
              <w:spacing w:line="240" w:lineRule="auto"/>
              <w:jc w:val="center"/>
              <w:rPr>
                <w:rFonts w:ascii="宋体" w:hAnsi="宋体"/>
                <w:sz w:val="18"/>
                <w:szCs w:val="18"/>
              </w:rPr>
            </w:pPr>
          </w:p>
        </w:tc>
        <w:tc>
          <w:tcPr>
            <w:tcW w:w="1934" w:type="dxa"/>
            <w:vMerge w:val="continue"/>
            <w:vAlign w:val="center"/>
          </w:tcPr>
          <w:p>
            <w:pPr>
              <w:spacing w:line="240" w:lineRule="auto"/>
              <w:jc w:val="left"/>
              <w:rPr>
                <w:rFonts w:ascii="宋体" w:hAnsi="宋体"/>
                <w:sz w:val="18"/>
                <w:szCs w:val="18"/>
              </w:rPr>
            </w:pPr>
          </w:p>
        </w:tc>
        <w:tc>
          <w:tcPr>
            <w:tcW w:w="3311" w:type="dxa"/>
            <w:vAlign w:val="center"/>
          </w:tcPr>
          <w:p>
            <w:pPr>
              <w:spacing w:line="240" w:lineRule="auto"/>
              <w:jc w:val="left"/>
              <w:rPr>
                <w:rFonts w:ascii="宋体" w:hAnsi="宋体"/>
                <w:sz w:val="18"/>
                <w:szCs w:val="18"/>
              </w:rPr>
            </w:pPr>
            <w:r>
              <w:rPr>
                <w:rFonts w:hint="eastAsia" w:ascii="宋体" w:hAnsi="宋体"/>
                <w:sz w:val="18"/>
                <w:szCs w:val="18"/>
              </w:rPr>
              <w:t>35％噻虫嗪悬浮剂2</w:t>
            </w:r>
            <w:r>
              <w:rPr>
                <w:rFonts w:hint="eastAsia" w:ascii="MS Gothic" w:hAnsi="MS Gothic" w:eastAsia="MS Gothic" w:cs="MS Gothic"/>
                <w:sz w:val="18"/>
                <w:szCs w:val="18"/>
              </w:rPr>
              <w:t> </w:t>
            </w:r>
            <w:r>
              <w:rPr>
                <w:rFonts w:hint="eastAsia" w:ascii="宋体" w:hAnsi="宋体"/>
                <w:sz w:val="18"/>
                <w:szCs w:val="18"/>
              </w:rPr>
              <w:t>000</w:t>
            </w:r>
            <w:r>
              <w:rPr>
                <w:rFonts w:ascii="宋体" w:hAnsi="宋体"/>
                <w:sz w:val="18"/>
                <w:szCs w:val="18"/>
              </w:rPr>
              <w:t>～</w:t>
            </w:r>
            <w:r>
              <w:rPr>
                <w:rFonts w:hint="eastAsia" w:ascii="宋体" w:hAnsi="宋体"/>
                <w:sz w:val="18"/>
                <w:szCs w:val="18"/>
              </w:rPr>
              <w:t>3</w:t>
            </w:r>
            <w:r>
              <w:rPr>
                <w:rFonts w:hint="eastAsia" w:ascii="MS Gothic" w:hAnsi="MS Gothic" w:eastAsia="MS Gothic" w:cs="MS Gothic"/>
                <w:sz w:val="18"/>
                <w:szCs w:val="18"/>
              </w:rPr>
              <w:t> </w:t>
            </w:r>
            <w:r>
              <w:rPr>
                <w:rFonts w:hint="eastAsia" w:ascii="宋体" w:hAnsi="宋体"/>
                <w:sz w:val="18"/>
                <w:szCs w:val="18"/>
              </w:rPr>
              <w:t>000倍液</w:t>
            </w:r>
          </w:p>
        </w:tc>
        <w:tc>
          <w:tcPr>
            <w:tcW w:w="2533" w:type="dxa"/>
            <w:vMerge w:val="continue"/>
            <w:tcBorders>
              <w:top w:val="single" w:color="auto" w:sz="4" w:space="0"/>
              <w:bottom w:val="single" w:color="auto" w:sz="4" w:space="0"/>
              <w:right w:val="single" w:color="auto" w:sz="8" w:space="0"/>
            </w:tcBorders>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91" w:type="dxa"/>
            <w:vMerge w:val="restart"/>
            <w:tcBorders>
              <w:top w:val="single" w:color="auto" w:sz="4" w:space="0"/>
            </w:tcBorders>
            <w:vAlign w:val="center"/>
          </w:tcPr>
          <w:p>
            <w:pPr>
              <w:spacing w:line="240" w:lineRule="auto"/>
              <w:jc w:val="center"/>
              <w:rPr>
                <w:rFonts w:ascii="宋体" w:hAnsi="宋体"/>
                <w:sz w:val="18"/>
                <w:szCs w:val="18"/>
              </w:rPr>
            </w:pPr>
            <w:r>
              <w:rPr>
                <w:rFonts w:hint="eastAsia" w:ascii="宋体" w:hAnsi="宋体"/>
                <w:sz w:val="18"/>
                <w:szCs w:val="18"/>
              </w:rPr>
              <w:t>疮痂病</w:t>
            </w:r>
          </w:p>
        </w:tc>
        <w:tc>
          <w:tcPr>
            <w:tcW w:w="1934" w:type="dxa"/>
            <w:vMerge w:val="restart"/>
            <w:vAlign w:val="center"/>
          </w:tcPr>
          <w:p>
            <w:pPr>
              <w:spacing w:line="240" w:lineRule="auto"/>
              <w:jc w:val="left"/>
              <w:rPr>
                <w:rFonts w:ascii="宋体" w:hAnsi="宋体"/>
                <w:sz w:val="18"/>
                <w:szCs w:val="18"/>
              </w:rPr>
            </w:pPr>
            <w:r>
              <w:rPr>
                <w:rFonts w:hint="eastAsia" w:ascii="宋体" w:hAnsi="宋体"/>
                <w:sz w:val="18"/>
                <w:szCs w:val="18"/>
              </w:rPr>
              <w:t>一般情况下，25℃～30℃容易发病，微碱性或中性沙壤土易发病，在块茎形成初期发病，主要危害块茎。</w:t>
            </w:r>
          </w:p>
        </w:tc>
        <w:tc>
          <w:tcPr>
            <w:tcW w:w="3311" w:type="dxa"/>
            <w:vAlign w:val="center"/>
          </w:tcPr>
          <w:p>
            <w:pPr>
              <w:spacing w:line="240" w:lineRule="auto"/>
              <w:jc w:val="left"/>
              <w:rPr>
                <w:rFonts w:ascii="宋体" w:hAnsi="宋体"/>
                <w:sz w:val="18"/>
                <w:szCs w:val="18"/>
              </w:rPr>
            </w:pPr>
            <w:r>
              <w:rPr>
                <w:rFonts w:hint="eastAsia" w:ascii="宋体" w:hAnsi="宋体"/>
                <w:color w:val="000000"/>
                <w:sz w:val="18"/>
                <w:szCs w:val="18"/>
              </w:rPr>
              <w:t>40</w:t>
            </w:r>
            <w:r>
              <w:rPr>
                <w:rFonts w:hint="eastAsia" w:ascii="宋体" w:hAnsi="宋体"/>
                <w:sz w:val="18"/>
                <w:szCs w:val="18"/>
              </w:rPr>
              <w:t>％</w:t>
            </w:r>
            <w:r>
              <w:rPr>
                <w:rFonts w:hint="eastAsia" w:ascii="宋体" w:hAnsi="宋体"/>
                <w:color w:val="000000"/>
                <w:sz w:val="18"/>
                <w:szCs w:val="18"/>
              </w:rPr>
              <w:t>五氯硝基苯可湿性粉剂200</w:t>
            </w:r>
            <w:r>
              <w:rPr>
                <w:rFonts w:hint="eastAsia" w:ascii="MS Gothic" w:hAnsi="MS Gothic" w:eastAsia="MS Gothic" w:cs="MS Gothic"/>
                <w:color w:val="000000"/>
                <w:sz w:val="18"/>
                <w:szCs w:val="18"/>
              </w:rPr>
              <w:t> </w:t>
            </w:r>
            <w:r>
              <w:rPr>
                <w:rFonts w:hint="eastAsia" w:ascii="宋体" w:hAnsi="宋体"/>
                <w:color w:val="000000"/>
                <w:sz w:val="18"/>
                <w:szCs w:val="18"/>
              </w:rPr>
              <w:t>g</w:t>
            </w:r>
            <w:r>
              <w:rPr>
                <w:rFonts w:hint="eastAsia" w:ascii="宋体" w:hAnsi="宋体"/>
                <w:sz w:val="18"/>
                <w:szCs w:val="18"/>
              </w:rPr>
              <w:t>/667m</w:t>
            </w:r>
            <w:r>
              <w:rPr>
                <w:rFonts w:hint="eastAsia" w:ascii="宋体" w:hAnsi="宋体"/>
                <w:sz w:val="18"/>
                <w:szCs w:val="18"/>
                <w:vertAlign w:val="superscript"/>
              </w:rPr>
              <w:t>2</w:t>
            </w:r>
            <w:r>
              <w:rPr>
                <w:rFonts w:ascii="宋体" w:hAnsi="宋体"/>
                <w:sz w:val="18"/>
                <w:szCs w:val="18"/>
              </w:rPr>
              <w:t>～</w:t>
            </w:r>
            <w:r>
              <w:rPr>
                <w:rFonts w:hint="eastAsia" w:ascii="宋体" w:hAnsi="宋体"/>
                <w:sz w:val="18"/>
                <w:szCs w:val="18"/>
              </w:rPr>
              <w:t>400</w:t>
            </w:r>
            <w:r>
              <w:rPr>
                <w:rFonts w:hint="eastAsia" w:ascii="MS Gothic" w:hAnsi="MS Gothic" w:eastAsia="MS Gothic" w:cs="MS Gothic"/>
                <w:sz w:val="18"/>
                <w:szCs w:val="18"/>
              </w:rPr>
              <w:t> </w:t>
            </w:r>
            <w:r>
              <w:rPr>
                <w:rFonts w:hint="eastAsia" w:ascii="宋体" w:hAnsi="宋体"/>
                <w:color w:val="000000"/>
                <w:sz w:val="18"/>
                <w:szCs w:val="18"/>
              </w:rPr>
              <w:t>g</w:t>
            </w:r>
            <w:r>
              <w:rPr>
                <w:rFonts w:hint="eastAsia" w:ascii="宋体" w:hAnsi="宋体"/>
                <w:sz w:val="18"/>
                <w:szCs w:val="18"/>
              </w:rPr>
              <w:t>/667m</w:t>
            </w:r>
            <w:r>
              <w:rPr>
                <w:rFonts w:hint="eastAsia" w:ascii="宋体" w:hAnsi="宋体"/>
                <w:sz w:val="18"/>
                <w:szCs w:val="18"/>
                <w:vertAlign w:val="superscript"/>
              </w:rPr>
              <w:t>2</w:t>
            </w:r>
          </w:p>
        </w:tc>
        <w:tc>
          <w:tcPr>
            <w:tcW w:w="2533" w:type="dxa"/>
            <w:vMerge w:val="restart"/>
            <w:tcBorders>
              <w:top w:val="single" w:color="auto" w:sz="4" w:space="0"/>
            </w:tcBorders>
            <w:vAlign w:val="center"/>
          </w:tcPr>
          <w:p>
            <w:pPr>
              <w:pStyle w:val="56"/>
              <w:ind w:firstLine="0" w:firstLineChars="0"/>
              <w:jc w:val="left"/>
              <w:rPr>
                <w:rFonts w:hAnsi="宋体"/>
                <w:sz w:val="18"/>
                <w:szCs w:val="18"/>
              </w:rPr>
            </w:pPr>
            <w:r>
              <w:rPr>
                <w:rFonts w:hint="eastAsia" w:hAnsi="宋体"/>
                <w:sz w:val="18"/>
                <w:szCs w:val="18"/>
              </w:rPr>
              <w:t>发病初期灌根，间隔5</w:t>
            </w:r>
            <w:r>
              <w:rPr>
                <w:rFonts w:hint="eastAsia" w:ascii="MS Gothic" w:hAnsi="MS Gothic" w:eastAsia="MS Gothic" w:cs="MS Gothic"/>
                <w:sz w:val="18"/>
                <w:szCs w:val="18"/>
              </w:rPr>
              <w:t> </w:t>
            </w:r>
            <w:r>
              <w:rPr>
                <w:rFonts w:hint="eastAsia" w:hAnsi="宋体"/>
                <w:sz w:val="18"/>
                <w:szCs w:val="18"/>
              </w:rPr>
              <w:t>d</w:t>
            </w:r>
            <w:r>
              <w:rPr>
                <w:rFonts w:hAnsi="宋体"/>
                <w:sz w:val="18"/>
                <w:szCs w:val="18"/>
              </w:rPr>
              <w:t>～</w:t>
            </w:r>
            <w:r>
              <w:rPr>
                <w:rFonts w:hint="eastAsia" w:hAnsi="宋体"/>
                <w:sz w:val="18"/>
                <w:szCs w:val="18"/>
              </w:rPr>
              <w:t>7</w:t>
            </w:r>
            <w:r>
              <w:rPr>
                <w:rFonts w:hint="eastAsia" w:ascii="MS Gothic" w:hAnsi="MS Gothic" w:eastAsia="MS Gothic" w:cs="MS Gothic"/>
                <w:sz w:val="18"/>
                <w:szCs w:val="18"/>
              </w:rPr>
              <w:t> </w:t>
            </w:r>
            <w:r>
              <w:rPr>
                <w:rFonts w:hint="eastAsia" w:hAnsi="宋体"/>
                <w:sz w:val="18"/>
                <w:szCs w:val="18"/>
              </w:rPr>
              <w:t>d喷一次，连续防治2</w:t>
            </w:r>
            <w:r>
              <w:rPr>
                <w:rFonts w:hAnsi="宋体"/>
                <w:sz w:val="18"/>
                <w:szCs w:val="18"/>
              </w:rPr>
              <w:t>～</w:t>
            </w:r>
            <w:r>
              <w:rPr>
                <w:rFonts w:hint="eastAsia" w:hAnsi="宋体"/>
                <w:sz w:val="18"/>
                <w:szCs w:val="18"/>
              </w:rPr>
              <w:t>3次。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91" w:type="dxa"/>
            <w:vMerge w:val="continue"/>
            <w:vAlign w:val="center"/>
          </w:tcPr>
          <w:p>
            <w:pPr>
              <w:spacing w:line="240" w:lineRule="auto"/>
              <w:jc w:val="center"/>
              <w:rPr>
                <w:rFonts w:ascii="宋体" w:hAnsi="宋体"/>
                <w:sz w:val="18"/>
                <w:szCs w:val="18"/>
              </w:rPr>
            </w:pPr>
          </w:p>
        </w:tc>
        <w:tc>
          <w:tcPr>
            <w:tcW w:w="1934" w:type="dxa"/>
            <w:vMerge w:val="continue"/>
            <w:vAlign w:val="center"/>
          </w:tcPr>
          <w:p>
            <w:pPr>
              <w:spacing w:line="240" w:lineRule="auto"/>
              <w:jc w:val="left"/>
              <w:rPr>
                <w:rFonts w:ascii="宋体" w:hAnsi="宋体"/>
                <w:sz w:val="18"/>
                <w:szCs w:val="18"/>
              </w:rPr>
            </w:pPr>
          </w:p>
        </w:tc>
        <w:tc>
          <w:tcPr>
            <w:tcW w:w="3311" w:type="dxa"/>
            <w:vAlign w:val="center"/>
          </w:tcPr>
          <w:p>
            <w:pPr>
              <w:spacing w:line="240" w:lineRule="auto"/>
              <w:jc w:val="left"/>
              <w:rPr>
                <w:rFonts w:ascii="宋体" w:hAnsi="宋体"/>
                <w:color w:val="000000"/>
                <w:sz w:val="18"/>
                <w:szCs w:val="18"/>
              </w:rPr>
            </w:pPr>
            <w:r>
              <w:rPr>
                <w:rFonts w:hint="eastAsia" w:ascii="宋体" w:hAnsi="宋体"/>
                <w:color w:val="000000"/>
                <w:sz w:val="18"/>
                <w:szCs w:val="18"/>
              </w:rPr>
              <w:t>47％氟啶胺悬浮剂45</w:t>
            </w:r>
            <w:r>
              <w:rPr>
                <w:rFonts w:hint="eastAsia" w:ascii="MS Gothic" w:hAnsi="MS Gothic" w:eastAsia="MS Gothic" w:cs="MS Gothic"/>
                <w:color w:val="000000"/>
                <w:sz w:val="18"/>
                <w:szCs w:val="18"/>
              </w:rPr>
              <w:t> </w:t>
            </w:r>
            <w:r>
              <w:rPr>
                <w:rFonts w:hint="eastAsia" w:ascii="宋体" w:hAnsi="宋体"/>
                <w:color w:val="000000"/>
                <w:sz w:val="18"/>
                <w:szCs w:val="18"/>
              </w:rPr>
              <w:t>g</w:t>
            </w:r>
            <w:r>
              <w:rPr>
                <w:rFonts w:hint="eastAsia" w:ascii="宋体" w:hAnsi="宋体"/>
                <w:sz w:val="18"/>
                <w:szCs w:val="18"/>
              </w:rPr>
              <w:t>/667m</w:t>
            </w:r>
            <w:r>
              <w:rPr>
                <w:rFonts w:hint="eastAsia" w:ascii="宋体" w:hAnsi="宋体"/>
                <w:sz w:val="18"/>
                <w:szCs w:val="18"/>
                <w:vertAlign w:val="superscript"/>
              </w:rPr>
              <w:t>2</w:t>
            </w:r>
            <w:r>
              <w:rPr>
                <w:rFonts w:ascii="宋体" w:hAnsi="宋体"/>
                <w:sz w:val="18"/>
                <w:szCs w:val="18"/>
              </w:rPr>
              <w:t>～</w:t>
            </w:r>
            <w:r>
              <w:rPr>
                <w:rFonts w:hint="eastAsia" w:ascii="宋体" w:hAnsi="宋体"/>
                <w:color w:val="000000"/>
                <w:sz w:val="18"/>
                <w:szCs w:val="18"/>
              </w:rPr>
              <w:t>50</w:t>
            </w:r>
            <w:r>
              <w:rPr>
                <w:rFonts w:hint="eastAsia" w:ascii="MS Gothic" w:hAnsi="MS Gothic" w:eastAsia="MS Gothic" w:cs="MS Gothic"/>
                <w:color w:val="000000"/>
                <w:sz w:val="18"/>
                <w:szCs w:val="18"/>
              </w:rPr>
              <w:t> </w:t>
            </w:r>
            <w:r>
              <w:rPr>
                <w:rFonts w:hint="eastAsia" w:ascii="宋体" w:hAnsi="宋体"/>
                <w:color w:val="000000"/>
                <w:sz w:val="18"/>
                <w:szCs w:val="18"/>
              </w:rPr>
              <w:t>g</w:t>
            </w:r>
            <w:r>
              <w:rPr>
                <w:rFonts w:hint="eastAsia" w:ascii="宋体" w:hAnsi="宋体"/>
                <w:sz w:val="18"/>
                <w:szCs w:val="18"/>
              </w:rPr>
              <w:t>/667m</w:t>
            </w:r>
            <w:r>
              <w:rPr>
                <w:rFonts w:hint="eastAsia" w:ascii="宋体" w:hAnsi="宋体"/>
                <w:sz w:val="18"/>
                <w:szCs w:val="18"/>
                <w:vertAlign w:val="superscript"/>
              </w:rPr>
              <w:t>2</w:t>
            </w:r>
          </w:p>
        </w:tc>
        <w:tc>
          <w:tcPr>
            <w:tcW w:w="2533" w:type="dxa"/>
            <w:vMerge w:val="continue"/>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91" w:type="dxa"/>
            <w:vMerge w:val="continue"/>
            <w:vAlign w:val="center"/>
          </w:tcPr>
          <w:p>
            <w:pPr>
              <w:spacing w:line="240" w:lineRule="auto"/>
              <w:jc w:val="center"/>
              <w:rPr>
                <w:rFonts w:ascii="宋体" w:hAnsi="宋体"/>
                <w:sz w:val="18"/>
                <w:szCs w:val="18"/>
              </w:rPr>
            </w:pPr>
          </w:p>
        </w:tc>
        <w:tc>
          <w:tcPr>
            <w:tcW w:w="1934" w:type="dxa"/>
            <w:vMerge w:val="continue"/>
            <w:vAlign w:val="center"/>
          </w:tcPr>
          <w:p>
            <w:pPr>
              <w:spacing w:line="240" w:lineRule="auto"/>
              <w:jc w:val="left"/>
              <w:rPr>
                <w:rFonts w:ascii="宋体" w:hAnsi="宋体"/>
                <w:sz w:val="18"/>
                <w:szCs w:val="18"/>
              </w:rPr>
            </w:pPr>
          </w:p>
        </w:tc>
        <w:tc>
          <w:tcPr>
            <w:tcW w:w="3311" w:type="dxa"/>
            <w:vAlign w:val="center"/>
          </w:tcPr>
          <w:p>
            <w:pPr>
              <w:spacing w:line="240" w:lineRule="auto"/>
              <w:jc w:val="left"/>
              <w:rPr>
                <w:rFonts w:ascii="宋体" w:hAnsi="宋体"/>
                <w:color w:val="000000"/>
                <w:sz w:val="18"/>
                <w:szCs w:val="18"/>
              </w:rPr>
            </w:pPr>
            <w:r>
              <w:rPr>
                <w:rFonts w:hint="eastAsia" w:ascii="宋体" w:hAnsi="宋体"/>
                <w:color w:val="000000"/>
                <w:sz w:val="18"/>
                <w:szCs w:val="18"/>
              </w:rPr>
              <w:t>100万孢子/g寡雄腐霉可湿性粉剂20</w:t>
            </w:r>
            <w:r>
              <w:rPr>
                <w:rFonts w:hint="eastAsia" w:ascii="MS Gothic" w:hAnsi="MS Gothic" w:eastAsia="MS Gothic" w:cs="MS Gothic"/>
                <w:color w:val="000000"/>
                <w:sz w:val="18"/>
                <w:szCs w:val="18"/>
              </w:rPr>
              <w:t> </w:t>
            </w:r>
            <w:r>
              <w:rPr>
                <w:rFonts w:hint="eastAsia" w:ascii="宋体" w:hAnsi="宋体"/>
                <w:color w:val="000000"/>
                <w:sz w:val="18"/>
                <w:szCs w:val="18"/>
              </w:rPr>
              <w:t>g</w:t>
            </w:r>
            <w:r>
              <w:rPr>
                <w:rFonts w:hint="eastAsia" w:ascii="宋体" w:hAnsi="宋体"/>
                <w:sz w:val="18"/>
                <w:szCs w:val="18"/>
              </w:rPr>
              <w:t>/667m</w:t>
            </w:r>
            <w:r>
              <w:rPr>
                <w:rFonts w:hint="eastAsia" w:ascii="宋体" w:hAnsi="宋体"/>
                <w:sz w:val="18"/>
                <w:szCs w:val="18"/>
                <w:vertAlign w:val="superscript"/>
              </w:rPr>
              <w:t>2</w:t>
            </w:r>
            <w:r>
              <w:rPr>
                <w:rFonts w:ascii="宋体" w:hAnsi="宋体"/>
                <w:sz w:val="18"/>
                <w:szCs w:val="18"/>
              </w:rPr>
              <w:t>～</w:t>
            </w:r>
            <w:r>
              <w:rPr>
                <w:rFonts w:hint="eastAsia" w:ascii="宋体" w:hAnsi="宋体"/>
                <w:color w:val="000000"/>
                <w:sz w:val="18"/>
                <w:szCs w:val="18"/>
              </w:rPr>
              <w:t>40</w:t>
            </w:r>
            <w:r>
              <w:rPr>
                <w:rFonts w:hint="eastAsia" w:ascii="MS Gothic" w:hAnsi="MS Gothic" w:eastAsia="MS Gothic" w:cs="MS Gothic"/>
                <w:color w:val="000000"/>
                <w:sz w:val="18"/>
                <w:szCs w:val="18"/>
              </w:rPr>
              <w:t> </w:t>
            </w:r>
            <w:r>
              <w:rPr>
                <w:rFonts w:hint="eastAsia" w:ascii="宋体" w:hAnsi="宋体"/>
                <w:color w:val="000000"/>
                <w:sz w:val="18"/>
                <w:szCs w:val="18"/>
              </w:rPr>
              <w:t>g</w:t>
            </w:r>
            <w:r>
              <w:rPr>
                <w:rFonts w:hint="eastAsia" w:ascii="宋体" w:hAnsi="宋体"/>
                <w:sz w:val="18"/>
                <w:szCs w:val="18"/>
              </w:rPr>
              <w:t>/667m</w:t>
            </w:r>
            <w:r>
              <w:rPr>
                <w:rFonts w:hint="eastAsia" w:ascii="宋体" w:hAnsi="宋体"/>
                <w:sz w:val="18"/>
                <w:szCs w:val="18"/>
                <w:vertAlign w:val="superscript"/>
              </w:rPr>
              <w:t>2</w:t>
            </w:r>
          </w:p>
        </w:tc>
        <w:tc>
          <w:tcPr>
            <w:tcW w:w="2533" w:type="dxa"/>
            <w:vMerge w:val="continue"/>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91" w:type="dxa"/>
            <w:vMerge w:val="continue"/>
            <w:vAlign w:val="center"/>
          </w:tcPr>
          <w:p>
            <w:pPr>
              <w:spacing w:line="240" w:lineRule="auto"/>
              <w:jc w:val="center"/>
              <w:rPr>
                <w:rFonts w:ascii="宋体" w:hAnsi="宋体"/>
                <w:sz w:val="18"/>
                <w:szCs w:val="18"/>
              </w:rPr>
            </w:pPr>
          </w:p>
        </w:tc>
        <w:tc>
          <w:tcPr>
            <w:tcW w:w="1934" w:type="dxa"/>
            <w:vMerge w:val="continue"/>
            <w:vAlign w:val="center"/>
          </w:tcPr>
          <w:p>
            <w:pPr>
              <w:spacing w:line="240" w:lineRule="auto"/>
              <w:jc w:val="left"/>
              <w:rPr>
                <w:rFonts w:ascii="宋体" w:hAnsi="宋体"/>
                <w:sz w:val="18"/>
                <w:szCs w:val="18"/>
              </w:rPr>
            </w:pPr>
          </w:p>
        </w:tc>
        <w:tc>
          <w:tcPr>
            <w:tcW w:w="3311" w:type="dxa"/>
            <w:vAlign w:val="center"/>
          </w:tcPr>
          <w:p>
            <w:pPr>
              <w:spacing w:line="240" w:lineRule="auto"/>
              <w:jc w:val="left"/>
              <w:rPr>
                <w:rFonts w:ascii="宋体" w:hAnsi="宋体"/>
                <w:color w:val="000000"/>
                <w:sz w:val="18"/>
                <w:szCs w:val="18"/>
              </w:rPr>
            </w:pPr>
            <w:r>
              <w:rPr>
                <w:rFonts w:hint="eastAsia" w:ascii="宋体" w:hAnsi="宋体"/>
                <w:color w:val="000000"/>
                <w:sz w:val="18"/>
                <w:szCs w:val="18"/>
              </w:rPr>
              <w:t>45％春雷霉素·王铜可湿性粉剂20</w:t>
            </w:r>
            <w:r>
              <w:rPr>
                <w:rFonts w:hint="eastAsia" w:ascii="MS Gothic" w:hAnsi="MS Gothic" w:eastAsia="MS Gothic" w:cs="MS Gothic"/>
                <w:color w:val="000000"/>
                <w:sz w:val="18"/>
                <w:szCs w:val="18"/>
              </w:rPr>
              <w:t> </w:t>
            </w:r>
            <w:r>
              <w:rPr>
                <w:rFonts w:hint="eastAsia" w:ascii="宋体" w:hAnsi="宋体"/>
                <w:color w:val="000000"/>
                <w:sz w:val="18"/>
                <w:szCs w:val="18"/>
              </w:rPr>
              <w:t>g</w:t>
            </w:r>
            <w:r>
              <w:rPr>
                <w:rFonts w:hint="eastAsia" w:ascii="宋体" w:hAnsi="宋体"/>
                <w:sz w:val="18"/>
                <w:szCs w:val="18"/>
              </w:rPr>
              <w:t>/667m</w:t>
            </w:r>
            <w:r>
              <w:rPr>
                <w:rFonts w:hint="eastAsia" w:ascii="宋体" w:hAnsi="宋体"/>
                <w:sz w:val="18"/>
                <w:szCs w:val="18"/>
                <w:vertAlign w:val="superscript"/>
              </w:rPr>
              <w:t>2</w:t>
            </w:r>
            <w:r>
              <w:rPr>
                <w:rFonts w:ascii="宋体" w:hAnsi="宋体"/>
                <w:sz w:val="18"/>
                <w:szCs w:val="18"/>
              </w:rPr>
              <w:t>～</w:t>
            </w:r>
            <w:r>
              <w:rPr>
                <w:rFonts w:hint="eastAsia" w:ascii="宋体" w:hAnsi="宋体"/>
                <w:color w:val="000000"/>
                <w:sz w:val="18"/>
                <w:szCs w:val="18"/>
              </w:rPr>
              <w:t>40</w:t>
            </w:r>
            <w:r>
              <w:rPr>
                <w:rFonts w:hint="eastAsia" w:ascii="MS Gothic" w:hAnsi="MS Gothic" w:eastAsia="MS Gothic" w:cs="MS Gothic"/>
                <w:color w:val="000000"/>
                <w:sz w:val="18"/>
                <w:szCs w:val="18"/>
              </w:rPr>
              <w:t> </w:t>
            </w:r>
            <w:r>
              <w:rPr>
                <w:rFonts w:hint="eastAsia" w:ascii="宋体" w:hAnsi="宋体"/>
                <w:color w:val="000000"/>
                <w:sz w:val="18"/>
                <w:szCs w:val="18"/>
              </w:rPr>
              <w:t>g</w:t>
            </w:r>
            <w:r>
              <w:rPr>
                <w:rFonts w:hint="eastAsia" w:ascii="宋体" w:hAnsi="宋体"/>
                <w:sz w:val="18"/>
                <w:szCs w:val="18"/>
              </w:rPr>
              <w:t>/667m</w:t>
            </w:r>
            <w:r>
              <w:rPr>
                <w:rFonts w:hint="eastAsia" w:ascii="宋体" w:hAnsi="宋体"/>
                <w:sz w:val="18"/>
                <w:szCs w:val="18"/>
                <w:vertAlign w:val="superscript"/>
              </w:rPr>
              <w:t>2</w:t>
            </w:r>
          </w:p>
        </w:tc>
        <w:tc>
          <w:tcPr>
            <w:tcW w:w="2533" w:type="dxa"/>
            <w:vMerge w:val="continue"/>
          </w:tcPr>
          <w:p>
            <w:pPr>
              <w:spacing w:line="240" w:lineRule="auto"/>
              <w:jc w:val="left"/>
              <w:rPr>
                <w:rFonts w:ascii="宋体" w:hAnsi="宋体"/>
                <w:sz w:val="18"/>
                <w:szCs w:val="18"/>
              </w:rPr>
            </w:pPr>
          </w:p>
        </w:tc>
      </w:tr>
    </w:tbl>
    <w:p>
      <w:pPr>
        <w:jc w:val="center"/>
        <w:rPr>
          <w:rFonts w:ascii="黑体" w:hAnsi="黑体" w:eastAsia="黑体"/>
        </w:rPr>
      </w:pPr>
    </w:p>
    <w:p>
      <w:pPr>
        <w:jc w:val="center"/>
      </w:pPr>
      <w:r>
        <w:rPr>
          <w:rFonts w:hint="eastAsia" w:ascii="黑体" w:hAnsi="黑体" w:eastAsia="黑体"/>
        </w:rPr>
        <w:t>表</w:t>
      </w:r>
      <w:r>
        <w:rPr>
          <w:rFonts w:ascii="黑体" w:hAnsi="黑体" w:eastAsia="黑体"/>
        </w:rPr>
        <w:t xml:space="preserve">A.1  </w:t>
      </w:r>
      <w:r>
        <w:rPr>
          <w:rFonts w:hint="eastAsia"/>
        </w:rPr>
        <w:t>（续）</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1"/>
        <w:gridCol w:w="1934"/>
        <w:gridCol w:w="3311"/>
        <w:gridCol w:w="25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91" w:type="dxa"/>
            <w:tcBorders>
              <w:top w:val="single" w:color="auto" w:sz="8" w:space="0"/>
              <w:left w:val="single" w:color="auto" w:sz="8" w:space="0"/>
              <w:bottom w:val="single" w:color="auto" w:sz="8" w:space="0"/>
              <w:righ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防治</w:t>
            </w:r>
          </w:p>
          <w:p>
            <w:pPr>
              <w:spacing w:line="240" w:lineRule="auto"/>
              <w:jc w:val="center"/>
              <w:rPr>
                <w:rFonts w:ascii="宋体" w:hAnsi="宋体"/>
                <w:sz w:val="18"/>
                <w:szCs w:val="18"/>
              </w:rPr>
            </w:pPr>
            <w:r>
              <w:rPr>
                <w:rFonts w:hint="eastAsia" w:ascii="宋体" w:hAnsi="宋体"/>
                <w:sz w:val="18"/>
                <w:szCs w:val="18"/>
              </w:rPr>
              <w:t>对象</w:t>
            </w:r>
          </w:p>
        </w:tc>
        <w:tc>
          <w:tcPr>
            <w:tcW w:w="1934" w:type="dxa"/>
            <w:tcBorders>
              <w:top w:val="single" w:color="auto" w:sz="8" w:space="0"/>
              <w:left w:val="single" w:color="auto" w:sz="8" w:space="0"/>
              <w:bottom w:val="single" w:color="auto" w:sz="8" w:space="0"/>
              <w:righ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发生时期</w:t>
            </w:r>
          </w:p>
        </w:tc>
        <w:tc>
          <w:tcPr>
            <w:tcW w:w="3311" w:type="dxa"/>
            <w:tcBorders>
              <w:top w:val="single" w:color="auto" w:sz="8" w:space="0"/>
              <w:left w:val="single" w:color="auto" w:sz="8" w:space="0"/>
              <w:bottom w:val="single" w:color="auto" w:sz="8" w:space="0"/>
              <w:righ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推荐药剂及使用浓度（667m</w:t>
            </w:r>
            <w:r>
              <w:rPr>
                <w:rFonts w:hint="eastAsia" w:ascii="宋体" w:hAnsi="宋体"/>
                <w:sz w:val="18"/>
                <w:szCs w:val="18"/>
                <w:vertAlign w:val="superscript"/>
              </w:rPr>
              <w:t>2</w:t>
            </w:r>
            <w:r>
              <w:rPr>
                <w:rFonts w:hint="eastAsia" w:ascii="宋体" w:hAnsi="宋体"/>
                <w:sz w:val="18"/>
                <w:szCs w:val="18"/>
              </w:rPr>
              <w:t>用量）</w:t>
            </w:r>
          </w:p>
        </w:tc>
        <w:tc>
          <w:tcPr>
            <w:tcW w:w="2533" w:type="dxa"/>
            <w:tcBorders>
              <w:top w:val="single" w:color="auto" w:sz="8" w:space="0"/>
              <w:left w:val="single" w:color="auto" w:sz="8" w:space="0"/>
              <w:bottom w:val="single" w:color="auto" w:sz="8" w:space="0"/>
              <w:righ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注意事项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91" w:type="dxa"/>
            <w:vMerge w:val="restart"/>
            <w:tcBorders>
              <w:top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枯萎病</w:t>
            </w:r>
          </w:p>
        </w:tc>
        <w:tc>
          <w:tcPr>
            <w:tcW w:w="1934" w:type="dxa"/>
            <w:vMerge w:val="restart"/>
            <w:tcBorders>
              <w:top w:val="single" w:color="auto" w:sz="8" w:space="0"/>
            </w:tcBorders>
            <w:vAlign w:val="center"/>
          </w:tcPr>
          <w:p>
            <w:pPr>
              <w:spacing w:line="240" w:lineRule="auto"/>
              <w:jc w:val="left"/>
              <w:rPr>
                <w:rFonts w:ascii="宋体" w:hAnsi="宋体"/>
                <w:sz w:val="18"/>
                <w:szCs w:val="18"/>
              </w:rPr>
            </w:pPr>
            <w:r>
              <w:rPr>
                <w:rFonts w:hint="eastAsia" w:ascii="宋体" w:hAnsi="宋体"/>
                <w:sz w:val="18"/>
                <w:szCs w:val="18"/>
              </w:rPr>
              <w:t>当田间有积水，土壤温度为28℃以上易发病，危害茎和块茎。</w:t>
            </w:r>
          </w:p>
        </w:tc>
        <w:tc>
          <w:tcPr>
            <w:tcW w:w="3311" w:type="dxa"/>
            <w:tcBorders>
              <w:top w:val="single" w:color="auto" w:sz="8" w:space="0"/>
              <w:bottom w:val="single" w:color="auto" w:sz="4" w:space="0"/>
            </w:tcBorders>
            <w:vAlign w:val="center"/>
          </w:tcPr>
          <w:p>
            <w:pPr>
              <w:spacing w:line="240" w:lineRule="auto"/>
              <w:jc w:val="left"/>
              <w:rPr>
                <w:rFonts w:ascii="宋体" w:hAnsi="宋体"/>
                <w:sz w:val="18"/>
                <w:szCs w:val="18"/>
              </w:rPr>
            </w:pPr>
            <w:r>
              <w:rPr>
                <w:rFonts w:hint="eastAsia" w:ascii="宋体" w:hAnsi="宋体"/>
                <w:sz w:val="18"/>
                <w:szCs w:val="18"/>
              </w:rPr>
              <w:t>25％咯菌腈悬浮种衣剂600</w:t>
            </w:r>
            <w:r>
              <w:rPr>
                <w:rFonts w:hint="eastAsia" w:ascii="MS Gothic" w:hAnsi="MS Gothic" w:eastAsia="MS Gothic" w:cs="MS Gothic"/>
                <w:sz w:val="18"/>
                <w:szCs w:val="18"/>
              </w:rPr>
              <w:t> </w:t>
            </w:r>
            <w:r>
              <w:rPr>
                <w:rFonts w:hint="eastAsia" w:ascii="宋体" w:hAnsi="宋体"/>
                <w:sz w:val="18"/>
                <w:szCs w:val="18"/>
              </w:rPr>
              <w:t>mL</w:t>
            </w:r>
            <w:r>
              <w:rPr>
                <w:rFonts w:ascii="宋体" w:hAnsi="宋体"/>
                <w:sz w:val="18"/>
                <w:szCs w:val="18"/>
              </w:rPr>
              <w:t>～</w:t>
            </w:r>
            <w:r>
              <w:rPr>
                <w:rFonts w:hint="eastAsia" w:ascii="宋体" w:hAnsi="宋体"/>
                <w:sz w:val="18"/>
                <w:szCs w:val="18"/>
              </w:rPr>
              <w:t>800</w:t>
            </w:r>
            <w:r>
              <w:rPr>
                <w:rFonts w:hint="eastAsia" w:ascii="MS Gothic" w:hAnsi="MS Gothic" w:eastAsia="MS Gothic" w:cs="MS Gothic"/>
                <w:sz w:val="18"/>
                <w:szCs w:val="18"/>
              </w:rPr>
              <w:t> </w:t>
            </w:r>
            <w:r>
              <w:rPr>
                <w:rFonts w:hint="eastAsia" w:ascii="宋体" w:hAnsi="宋体"/>
                <w:sz w:val="18"/>
                <w:szCs w:val="18"/>
              </w:rPr>
              <w:t>mL</w:t>
            </w:r>
          </w:p>
        </w:tc>
        <w:tc>
          <w:tcPr>
            <w:tcW w:w="2533" w:type="dxa"/>
            <w:vMerge w:val="restart"/>
            <w:tcBorders>
              <w:top w:val="single" w:color="auto" w:sz="8" w:space="0"/>
            </w:tcBorders>
            <w:vAlign w:val="center"/>
          </w:tcPr>
          <w:p>
            <w:pPr>
              <w:spacing w:line="240" w:lineRule="auto"/>
              <w:jc w:val="left"/>
              <w:rPr>
                <w:rFonts w:ascii="宋体" w:hAnsi="宋体"/>
                <w:sz w:val="18"/>
                <w:szCs w:val="18"/>
              </w:rPr>
            </w:pPr>
            <w:r>
              <w:rPr>
                <w:rFonts w:hint="eastAsia" w:ascii="宋体" w:hAnsi="宋体"/>
                <w:sz w:val="18"/>
                <w:szCs w:val="18"/>
              </w:rPr>
              <w:t>种植前拌种，保证每60</w:t>
            </w:r>
            <w:r>
              <w:rPr>
                <w:rFonts w:hint="eastAsia" w:ascii="宋体" w:hAnsi="宋体"/>
                <w:sz w:val="18"/>
                <w:szCs w:val="18"/>
                <w:vertAlign w:val="superscript"/>
              </w:rPr>
              <w:t xml:space="preserve"> </w:t>
            </w:r>
            <w:r>
              <w:rPr>
                <w:rFonts w:hint="eastAsia" w:ascii="宋体" w:hAnsi="宋体"/>
                <w:sz w:val="18"/>
                <w:szCs w:val="18"/>
              </w:rPr>
              <w:t>mL药液拌种10</w:t>
            </w:r>
            <w:r>
              <w:rPr>
                <w:rFonts w:hint="eastAsia" w:ascii="宋体" w:hAnsi="宋体"/>
                <w:sz w:val="18"/>
                <w:szCs w:val="18"/>
                <w:vertAlign w:val="superscript"/>
              </w:rPr>
              <w:t xml:space="preserve"> </w:t>
            </w:r>
            <w:r>
              <w:rPr>
                <w:rFonts w:hint="eastAsia" w:ascii="宋体" w:hAnsi="宋体"/>
                <w:sz w:val="18"/>
                <w:szCs w:val="18"/>
              </w:rPr>
              <w:t>kg马铃薯块茎。</w:t>
            </w:r>
          </w:p>
          <w:p>
            <w:pPr>
              <w:spacing w:line="240" w:lineRule="auto"/>
              <w:jc w:val="left"/>
              <w:rPr>
                <w:rFonts w:ascii="宋体" w:hAnsi="宋体"/>
                <w:sz w:val="18"/>
                <w:szCs w:val="18"/>
              </w:rPr>
            </w:pPr>
            <w:r>
              <w:rPr>
                <w:rFonts w:hint="eastAsia" w:ascii="宋体" w:hAnsi="宋体"/>
                <w:sz w:val="18"/>
                <w:szCs w:val="18"/>
              </w:rPr>
              <w:t>发病初期喷施，间隔</w:t>
            </w:r>
            <w:r>
              <w:rPr>
                <w:rFonts w:ascii="宋体" w:hAnsi="宋体"/>
                <w:sz w:val="18"/>
                <w:szCs w:val="18"/>
              </w:rPr>
              <w:t>3</w:t>
            </w:r>
            <w:r>
              <w:rPr>
                <w:rFonts w:hint="eastAsia" w:ascii="MS Gothic" w:hAnsi="MS Gothic" w:eastAsia="MS Gothic" w:cs="MS Gothic"/>
                <w:sz w:val="18"/>
                <w:szCs w:val="18"/>
              </w:rPr>
              <w:t> </w:t>
            </w:r>
            <w:r>
              <w:rPr>
                <w:rFonts w:hint="eastAsia" w:ascii="宋体" w:hAnsi="宋体"/>
                <w:sz w:val="18"/>
                <w:szCs w:val="18"/>
              </w:rPr>
              <w:t>d</w:t>
            </w:r>
            <w:r>
              <w:rPr>
                <w:rFonts w:ascii="宋体" w:hAnsi="宋体"/>
                <w:sz w:val="18"/>
                <w:szCs w:val="18"/>
              </w:rPr>
              <w:t>～5</w:t>
            </w:r>
            <w:r>
              <w:rPr>
                <w:rFonts w:hint="eastAsia" w:ascii="MS Gothic" w:hAnsi="MS Gothic" w:eastAsia="MS Gothic" w:cs="MS Gothic"/>
                <w:sz w:val="18"/>
                <w:szCs w:val="18"/>
              </w:rPr>
              <w:t> </w:t>
            </w:r>
            <w:r>
              <w:rPr>
                <w:rFonts w:hint="eastAsia" w:ascii="宋体" w:hAnsi="宋体"/>
                <w:sz w:val="18"/>
                <w:szCs w:val="18"/>
              </w:rPr>
              <w:t>d喷一次，连续防治3</w:t>
            </w:r>
            <w:r>
              <w:rPr>
                <w:rFonts w:ascii="宋体" w:hAnsi="宋体"/>
                <w:sz w:val="18"/>
                <w:szCs w:val="18"/>
              </w:rPr>
              <w:t>～</w:t>
            </w:r>
            <w:r>
              <w:rPr>
                <w:rFonts w:hint="eastAsia" w:ascii="宋体" w:hAnsi="宋体"/>
                <w:sz w:val="18"/>
                <w:szCs w:val="18"/>
              </w:rPr>
              <w:t>4次。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91" w:type="dxa"/>
            <w:vMerge w:val="continue"/>
            <w:tcBorders>
              <w:bottom w:val="single" w:color="auto" w:sz="4" w:space="0"/>
            </w:tcBorders>
            <w:vAlign w:val="center"/>
          </w:tcPr>
          <w:p>
            <w:pPr>
              <w:spacing w:line="240" w:lineRule="auto"/>
              <w:jc w:val="center"/>
              <w:rPr>
                <w:rFonts w:hint="eastAsia" w:ascii="宋体" w:hAnsi="宋体"/>
                <w:sz w:val="18"/>
                <w:szCs w:val="18"/>
              </w:rPr>
            </w:pPr>
          </w:p>
        </w:tc>
        <w:tc>
          <w:tcPr>
            <w:tcW w:w="1934" w:type="dxa"/>
            <w:vMerge w:val="continue"/>
            <w:tcBorders>
              <w:bottom w:val="single" w:color="auto" w:sz="4" w:space="0"/>
            </w:tcBorders>
            <w:vAlign w:val="center"/>
          </w:tcPr>
          <w:p>
            <w:pPr>
              <w:spacing w:line="240" w:lineRule="auto"/>
              <w:jc w:val="left"/>
              <w:rPr>
                <w:rFonts w:hint="eastAsia" w:ascii="宋体" w:hAnsi="宋体"/>
                <w:sz w:val="18"/>
                <w:szCs w:val="18"/>
              </w:rPr>
            </w:pPr>
          </w:p>
        </w:tc>
        <w:tc>
          <w:tcPr>
            <w:tcW w:w="3311" w:type="dxa"/>
            <w:tcBorders>
              <w:top w:val="single" w:color="auto" w:sz="4" w:space="0"/>
              <w:bottom w:val="single" w:color="auto" w:sz="4" w:space="0"/>
            </w:tcBorders>
            <w:vAlign w:val="center"/>
          </w:tcPr>
          <w:p>
            <w:pPr>
              <w:spacing w:line="240" w:lineRule="auto"/>
              <w:jc w:val="left"/>
              <w:rPr>
                <w:rFonts w:hint="eastAsia" w:ascii="宋体" w:hAnsi="宋体"/>
                <w:sz w:val="18"/>
                <w:szCs w:val="18"/>
              </w:rPr>
            </w:pPr>
            <w:r>
              <w:rPr>
                <w:rFonts w:hint="eastAsia" w:ascii="宋体" w:hAnsi="宋体"/>
                <w:sz w:val="18"/>
                <w:szCs w:val="18"/>
              </w:rPr>
              <w:t>25％嘧菌酯悬浮剂36</w:t>
            </w:r>
            <w:r>
              <w:rPr>
                <w:rFonts w:ascii="宋体" w:hAnsi="宋体"/>
                <w:sz w:val="18"/>
                <w:szCs w:val="18"/>
              </w:rPr>
              <w:t> </w:t>
            </w:r>
            <w:r>
              <w:rPr>
                <w:rFonts w:hint="eastAsia" w:ascii="宋体" w:hAnsi="宋体"/>
                <w:sz w:val="18"/>
                <w:szCs w:val="18"/>
              </w:rPr>
              <w:t>mL/667m</w:t>
            </w:r>
            <w:r>
              <w:rPr>
                <w:rFonts w:hint="eastAsia" w:ascii="宋体" w:hAnsi="宋体"/>
                <w:sz w:val="18"/>
                <w:szCs w:val="18"/>
                <w:vertAlign w:val="superscript"/>
              </w:rPr>
              <w:t>2</w:t>
            </w:r>
            <w:r>
              <w:rPr>
                <w:rFonts w:ascii="宋体" w:hAnsi="宋体"/>
                <w:sz w:val="18"/>
                <w:szCs w:val="18"/>
              </w:rPr>
              <w:t>～</w:t>
            </w:r>
            <w:r>
              <w:rPr>
                <w:rFonts w:hint="eastAsia" w:ascii="宋体" w:hAnsi="宋体"/>
                <w:sz w:val="18"/>
                <w:szCs w:val="18"/>
              </w:rPr>
              <w:t>60</w:t>
            </w:r>
            <w:r>
              <w:rPr>
                <w:rFonts w:ascii="宋体" w:hAnsi="宋体"/>
                <w:sz w:val="18"/>
                <w:szCs w:val="18"/>
              </w:rPr>
              <w:t> </w:t>
            </w:r>
            <w:r>
              <w:rPr>
                <w:rFonts w:hint="eastAsia" w:ascii="宋体" w:hAnsi="宋体"/>
                <w:sz w:val="18"/>
                <w:szCs w:val="18"/>
              </w:rPr>
              <w:t>mL/667m</w:t>
            </w:r>
            <w:r>
              <w:rPr>
                <w:rFonts w:hint="eastAsia" w:ascii="宋体" w:hAnsi="宋体"/>
                <w:sz w:val="18"/>
                <w:szCs w:val="18"/>
                <w:vertAlign w:val="superscript"/>
              </w:rPr>
              <w:t>2</w:t>
            </w:r>
          </w:p>
        </w:tc>
        <w:tc>
          <w:tcPr>
            <w:tcW w:w="2533" w:type="dxa"/>
            <w:vMerge w:val="continue"/>
            <w:tcBorders>
              <w:bottom w:val="single" w:color="auto" w:sz="4" w:space="0"/>
            </w:tcBorders>
            <w:vAlign w:val="center"/>
          </w:tcPr>
          <w:p>
            <w:pPr>
              <w:spacing w:line="240" w:lineRule="auto"/>
              <w:jc w:val="left"/>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91" w:type="dxa"/>
            <w:tcBorders>
              <w:top w:val="single" w:color="auto" w:sz="4" w:space="0"/>
              <w:bottom w:val="single" w:color="auto" w:sz="4" w:space="0"/>
            </w:tcBorders>
            <w:vAlign w:val="center"/>
          </w:tcPr>
          <w:p>
            <w:pPr>
              <w:spacing w:line="240" w:lineRule="auto"/>
              <w:jc w:val="center"/>
              <w:rPr>
                <w:rFonts w:ascii="宋体" w:hAnsi="宋体"/>
                <w:sz w:val="18"/>
                <w:szCs w:val="18"/>
              </w:rPr>
            </w:pPr>
            <w:r>
              <w:rPr>
                <w:rFonts w:hint="eastAsia" w:ascii="宋体" w:hAnsi="宋体"/>
                <w:sz w:val="18"/>
                <w:szCs w:val="18"/>
              </w:rPr>
              <w:t>蚜虫</w:t>
            </w:r>
          </w:p>
        </w:tc>
        <w:tc>
          <w:tcPr>
            <w:tcW w:w="1934" w:type="dxa"/>
            <w:tcBorders>
              <w:top w:val="single" w:color="auto" w:sz="4" w:space="0"/>
              <w:bottom w:val="single" w:color="auto" w:sz="4" w:space="0"/>
            </w:tcBorders>
            <w:vAlign w:val="center"/>
          </w:tcPr>
          <w:p>
            <w:pPr>
              <w:spacing w:line="240" w:lineRule="auto"/>
              <w:jc w:val="left"/>
              <w:rPr>
                <w:rFonts w:ascii="宋体" w:hAnsi="宋体"/>
                <w:sz w:val="18"/>
                <w:szCs w:val="18"/>
              </w:rPr>
            </w:pPr>
            <w:r>
              <w:rPr>
                <w:rFonts w:hint="eastAsia" w:ascii="宋体" w:hAnsi="宋体"/>
                <w:sz w:val="18"/>
                <w:szCs w:val="18"/>
              </w:rPr>
              <w:t>马铃薯最常见的地上部害虫，田间湿度较大，温度为20℃左右时，蚜虫快速繁殖，大面积爆发，主要危害叶片。</w:t>
            </w:r>
          </w:p>
        </w:tc>
        <w:tc>
          <w:tcPr>
            <w:tcW w:w="3311" w:type="dxa"/>
            <w:tcBorders>
              <w:top w:val="single" w:color="auto" w:sz="4" w:space="0"/>
              <w:bottom w:val="single" w:color="auto" w:sz="4" w:space="0"/>
            </w:tcBorders>
            <w:vAlign w:val="center"/>
          </w:tcPr>
          <w:p>
            <w:pPr>
              <w:spacing w:line="240" w:lineRule="auto"/>
              <w:jc w:val="left"/>
              <w:rPr>
                <w:rFonts w:ascii="宋体" w:hAnsi="宋体"/>
                <w:sz w:val="18"/>
                <w:szCs w:val="18"/>
              </w:rPr>
            </w:pPr>
            <w:r>
              <w:rPr>
                <w:rFonts w:hint="eastAsia" w:ascii="宋体" w:hAnsi="宋体"/>
                <w:sz w:val="18"/>
                <w:szCs w:val="18"/>
              </w:rPr>
              <w:t>50％吡虫啉乳油2</w:t>
            </w:r>
            <w:r>
              <w:rPr>
                <w:rFonts w:hint="eastAsia" w:ascii="MS Gothic" w:hAnsi="MS Gothic" w:eastAsia="MS Gothic" w:cs="MS Gothic"/>
                <w:sz w:val="18"/>
                <w:szCs w:val="18"/>
              </w:rPr>
              <w:t> </w:t>
            </w:r>
            <w:r>
              <w:rPr>
                <w:rFonts w:hint="eastAsia" w:ascii="宋体" w:hAnsi="宋体"/>
                <w:sz w:val="18"/>
                <w:szCs w:val="18"/>
              </w:rPr>
              <w:t>000</w:t>
            </w:r>
            <w:r>
              <w:rPr>
                <w:rFonts w:ascii="宋体" w:hAnsi="宋体"/>
                <w:sz w:val="18"/>
                <w:szCs w:val="18"/>
              </w:rPr>
              <w:t>～</w:t>
            </w:r>
            <w:r>
              <w:rPr>
                <w:rFonts w:hint="eastAsia" w:ascii="宋体" w:hAnsi="宋体"/>
                <w:sz w:val="18"/>
                <w:szCs w:val="18"/>
              </w:rPr>
              <w:t>3</w:t>
            </w:r>
            <w:r>
              <w:rPr>
                <w:rFonts w:hint="eastAsia" w:ascii="MS Gothic" w:hAnsi="MS Gothic" w:eastAsia="MS Gothic" w:cs="MS Gothic"/>
                <w:sz w:val="18"/>
                <w:szCs w:val="18"/>
              </w:rPr>
              <w:t> </w:t>
            </w:r>
            <w:r>
              <w:rPr>
                <w:rFonts w:hint="eastAsia" w:ascii="宋体" w:hAnsi="宋体"/>
                <w:sz w:val="18"/>
                <w:szCs w:val="18"/>
              </w:rPr>
              <w:t>000倍液</w:t>
            </w:r>
          </w:p>
        </w:tc>
        <w:tc>
          <w:tcPr>
            <w:tcW w:w="2533" w:type="dxa"/>
            <w:tcBorders>
              <w:top w:val="single" w:color="auto" w:sz="4" w:space="0"/>
              <w:bottom w:val="single" w:color="auto" w:sz="4" w:space="0"/>
            </w:tcBorders>
            <w:vAlign w:val="center"/>
          </w:tcPr>
          <w:p>
            <w:pPr>
              <w:spacing w:line="240" w:lineRule="auto"/>
              <w:jc w:val="left"/>
              <w:rPr>
                <w:rFonts w:ascii="宋体" w:hAnsi="宋体"/>
                <w:sz w:val="18"/>
                <w:szCs w:val="18"/>
              </w:rPr>
            </w:pPr>
            <w:r>
              <w:rPr>
                <w:rFonts w:hint="eastAsia" w:ascii="宋体" w:hAnsi="宋体"/>
                <w:sz w:val="18"/>
                <w:szCs w:val="18"/>
              </w:rPr>
              <w:t>发病初期喷施，可与叶面肥同时喷施。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91" w:type="dxa"/>
            <w:vMerge w:val="restart"/>
            <w:tcBorders>
              <w:top w:val="single" w:color="auto" w:sz="4" w:space="0"/>
            </w:tcBorders>
            <w:vAlign w:val="center"/>
          </w:tcPr>
          <w:p>
            <w:pPr>
              <w:spacing w:line="240" w:lineRule="auto"/>
              <w:jc w:val="center"/>
              <w:rPr>
                <w:rFonts w:ascii="宋体" w:hAnsi="宋体"/>
                <w:sz w:val="18"/>
                <w:szCs w:val="18"/>
              </w:rPr>
            </w:pPr>
            <w:r>
              <w:rPr>
                <w:rFonts w:hint="eastAsia" w:ascii="宋体" w:hAnsi="宋体"/>
                <w:sz w:val="18"/>
                <w:szCs w:val="18"/>
              </w:rPr>
              <w:t>小地</w:t>
            </w:r>
          </w:p>
          <w:p>
            <w:pPr>
              <w:spacing w:line="240" w:lineRule="auto"/>
              <w:jc w:val="center"/>
              <w:rPr>
                <w:rFonts w:ascii="宋体" w:hAnsi="宋体"/>
                <w:sz w:val="18"/>
                <w:szCs w:val="18"/>
              </w:rPr>
            </w:pPr>
            <w:r>
              <w:rPr>
                <w:rFonts w:hint="eastAsia" w:ascii="宋体" w:hAnsi="宋体"/>
                <w:sz w:val="18"/>
                <w:szCs w:val="18"/>
              </w:rPr>
              <w:t>老虎</w:t>
            </w:r>
          </w:p>
        </w:tc>
        <w:tc>
          <w:tcPr>
            <w:tcW w:w="1934" w:type="dxa"/>
            <w:vMerge w:val="restart"/>
            <w:tcBorders>
              <w:top w:val="single" w:color="auto" w:sz="4" w:space="0"/>
            </w:tcBorders>
            <w:vAlign w:val="center"/>
          </w:tcPr>
          <w:p>
            <w:pPr>
              <w:spacing w:line="240" w:lineRule="auto"/>
              <w:jc w:val="left"/>
              <w:rPr>
                <w:rFonts w:ascii="宋体" w:hAnsi="宋体"/>
                <w:sz w:val="18"/>
                <w:szCs w:val="18"/>
              </w:rPr>
            </w:pPr>
            <w:r>
              <w:rPr>
                <w:rFonts w:hint="eastAsia" w:ascii="宋体" w:hAnsi="宋体"/>
                <w:sz w:val="18"/>
                <w:szCs w:val="18"/>
              </w:rPr>
              <w:t>马铃薯最常见的地下害虫之一，当相对湿度85％左右，温度15℃～25℃活动旺盛，危害马铃薯块茎。</w:t>
            </w:r>
          </w:p>
        </w:tc>
        <w:tc>
          <w:tcPr>
            <w:tcW w:w="3311" w:type="dxa"/>
            <w:tcBorders>
              <w:top w:val="single" w:color="auto" w:sz="4" w:space="0"/>
            </w:tcBorders>
            <w:vAlign w:val="center"/>
          </w:tcPr>
          <w:p>
            <w:pPr>
              <w:spacing w:line="240" w:lineRule="auto"/>
              <w:jc w:val="left"/>
              <w:rPr>
                <w:rFonts w:ascii="宋体" w:hAnsi="宋体"/>
                <w:sz w:val="18"/>
                <w:szCs w:val="18"/>
              </w:rPr>
            </w:pPr>
            <w:r>
              <w:rPr>
                <w:rFonts w:hint="eastAsia" w:ascii="宋体" w:hAnsi="宋体"/>
                <w:sz w:val="18"/>
                <w:szCs w:val="18"/>
              </w:rPr>
              <w:t>10％啶虫脒乳油12</w:t>
            </w:r>
            <w:r>
              <w:rPr>
                <w:rFonts w:hint="eastAsia" w:ascii="宋体" w:hAnsi="宋体"/>
                <w:sz w:val="18"/>
                <w:szCs w:val="18"/>
                <w:vertAlign w:val="superscript"/>
              </w:rPr>
              <w:t xml:space="preserve"> </w:t>
            </w:r>
            <w:r>
              <w:rPr>
                <w:rFonts w:hint="eastAsia" w:ascii="宋体" w:hAnsi="宋体"/>
                <w:sz w:val="18"/>
                <w:szCs w:val="18"/>
              </w:rPr>
              <w:t>mL/667m</w:t>
            </w:r>
            <w:r>
              <w:rPr>
                <w:rFonts w:hint="eastAsia" w:ascii="宋体" w:hAnsi="宋体"/>
                <w:sz w:val="18"/>
                <w:szCs w:val="18"/>
                <w:vertAlign w:val="superscript"/>
              </w:rPr>
              <w:t>2</w:t>
            </w:r>
            <w:r>
              <w:rPr>
                <w:rFonts w:ascii="宋体" w:hAnsi="宋体"/>
                <w:sz w:val="18"/>
                <w:szCs w:val="18"/>
              </w:rPr>
              <w:t>～</w:t>
            </w:r>
            <w:r>
              <w:rPr>
                <w:rFonts w:hint="eastAsia" w:ascii="宋体" w:hAnsi="宋体"/>
                <w:sz w:val="18"/>
                <w:szCs w:val="18"/>
              </w:rPr>
              <w:t>15</w:t>
            </w:r>
            <w:r>
              <w:rPr>
                <w:rFonts w:hint="eastAsia" w:ascii="宋体" w:hAnsi="宋体"/>
                <w:sz w:val="18"/>
                <w:szCs w:val="18"/>
                <w:vertAlign w:val="superscript"/>
              </w:rPr>
              <w:t xml:space="preserve"> </w:t>
            </w:r>
            <w:r>
              <w:rPr>
                <w:rFonts w:hint="eastAsia" w:ascii="宋体" w:hAnsi="宋体"/>
                <w:sz w:val="18"/>
                <w:szCs w:val="18"/>
              </w:rPr>
              <w:t>mL/667m</w:t>
            </w:r>
            <w:r>
              <w:rPr>
                <w:rFonts w:hint="eastAsia" w:ascii="宋体" w:hAnsi="宋体"/>
                <w:sz w:val="18"/>
                <w:szCs w:val="18"/>
                <w:vertAlign w:val="superscript"/>
              </w:rPr>
              <w:t>2</w:t>
            </w:r>
          </w:p>
        </w:tc>
        <w:tc>
          <w:tcPr>
            <w:tcW w:w="2533" w:type="dxa"/>
            <w:vMerge w:val="restart"/>
            <w:tcBorders>
              <w:top w:val="single" w:color="auto" w:sz="4" w:space="0"/>
            </w:tcBorders>
            <w:vAlign w:val="center"/>
          </w:tcPr>
          <w:p>
            <w:pPr>
              <w:spacing w:line="240" w:lineRule="auto"/>
              <w:jc w:val="left"/>
              <w:rPr>
                <w:rFonts w:ascii="宋体" w:hAnsi="宋体"/>
                <w:sz w:val="18"/>
                <w:szCs w:val="18"/>
              </w:rPr>
            </w:pPr>
            <w:r>
              <w:rPr>
                <w:rFonts w:hint="eastAsia" w:ascii="宋体" w:hAnsi="宋体"/>
                <w:sz w:val="18"/>
                <w:szCs w:val="18"/>
              </w:rPr>
              <w:t>马铃薯播种前，按药:水:种子=1:50:500的比例匀和搅拌，闷堆2</w:t>
            </w:r>
            <w:r>
              <w:rPr>
                <w:rFonts w:hint="eastAsia" w:ascii="MS Gothic" w:hAnsi="MS Gothic" w:eastAsia="MS Gothic" w:cs="MS Gothic"/>
                <w:sz w:val="18"/>
                <w:szCs w:val="18"/>
              </w:rPr>
              <w:t> </w:t>
            </w:r>
            <w:r>
              <w:rPr>
                <w:rFonts w:hint="eastAsia" w:ascii="宋体" w:hAnsi="宋体"/>
                <w:sz w:val="18"/>
                <w:szCs w:val="18"/>
              </w:rPr>
              <w:t>h</w:t>
            </w:r>
            <w:r>
              <w:rPr>
                <w:rFonts w:ascii="宋体" w:hAnsi="宋体"/>
                <w:sz w:val="18"/>
                <w:szCs w:val="18"/>
              </w:rPr>
              <w:t>～</w:t>
            </w:r>
            <w:r>
              <w:rPr>
                <w:rFonts w:hint="eastAsia" w:ascii="宋体" w:hAnsi="宋体"/>
                <w:sz w:val="18"/>
                <w:szCs w:val="18"/>
              </w:rPr>
              <w:t>3</w:t>
            </w:r>
            <w:r>
              <w:rPr>
                <w:rFonts w:hint="eastAsia" w:ascii="宋体" w:hAnsi="宋体"/>
                <w:sz w:val="18"/>
                <w:szCs w:val="18"/>
                <w:vertAlign w:val="superscript"/>
              </w:rPr>
              <w:t xml:space="preserve"> </w:t>
            </w:r>
            <w:r>
              <w:rPr>
                <w:rFonts w:hint="eastAsia" w:ascii="宋体" w:hAnsi="宋体"/>
                <w:sz w:val="18"/>
                <w:szCs w:val="18"/>
              </w:rPr>
              <w:t>h后，再摊开阴干后播种，保证每20</w:t>
            </w:r>
            <w:r>
              <w:rPr>
                <w:rFonts w:hint="eastAsia" w:ascii="宋体" w:hAnsi="宋体"/>
                <w:sz w:val="18"/>
                <w:szCs w:val="18"/>
                <w:vertAlign w:val="superscript"/>
              </w:rPr>
              <w:t xml:space="preserve"> </w:t>
            </w:r>
            <w:r>
              <w:rPr>
                <w:rFonts w:hint="eastAsia" w:ascii="宋体" w:hAnsi="宋体"/>
                <w:sz w:val="18"/>
                <w:szCs w:val="18"/>
              </w:rPr>
              <w:t>mL药液拌种10</w:t>
            </w:r>
            <w:r>
              <w:rPr>
                <w:rFonts w:hint="eastAsia" w:ascii="宋体" w:hAnsi="宋体"/>
                <w:sz w:val="18"/>
                <w:szCs w:val="18"/>
                <w:vertAlign w:val="superscript"/>
              </w:rPr>
              <w:t xml:space="preserve"> </w:t>
            </w:r>
            <w:r>
              <w:rPr>
                <w:rFonts w:hint="eastAsia" w:ascii="宋体" w:hAnsi="宋体"/>
                <w:sz w:val="18"/>
                <w:szCs w:val="18"/>
              </w:rPr>
              <w:t>kg马铃薯块茎。</w:t>
            </w:r>
          </w:p>
          <w:p>
            <w:pPr>
              <w:spacing w:line="240" w:lineRule="auto"/>
              <w:jc w:val="left"/>
              <w:rPr>
                <w:rFonts w:ascii="宋体" w:hAnsi="宋体"/>
                <w:sz w:val="18"/>
                <w:szCs w:val="18"/>
              </w:rPr>
            </w:pPr>
            <w:r>
              <w:rPr>
                <w:rFonts w:hint="eastAsia" w:ascii="宋体" w:hAnsi="宋体"/>
                <w:sz w:val="18"/>
                <w:szCs w:val="18"/>
              </w:rPr>
              <w:t>或马铃薯生长前期与水溶肥一起微喷灌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91" w:type="dxa"/>
            <w:vMerge w:val="continue"/>
            <w:vAlign w:val="center"/>
          </w:tcPr>
          <w:p>
            <w:pPr>
              <w:spacing w:line="240" w:lineRule="auto"/>
              <w:jc w:val="center"/>
              <w:rPr>
                <w:rFonts w:ascii="宋体" w:hAnsi="宋体"/>
                <w:sz w:val="18"/>
                <w:szCs w:val="18"/>
              </w:rPr>
            </w:pPr>
          </w:p>
        </w:tc>
        <w:tc>
          <w:tcPr>
            <w:tcW w:w="1934" w:type="dxa"/>
            <w:vMerge w:val="continue"/>
            <w:vAlign w:val="center"/>
          </w:tcPr>
          <w:p>
            <w:pPr>
              <w:spacing w:line="240" w:lineRule="auto"/>
              <w:jc w:val="left"/>
              <w:rPr>
                <w:rFonts w:ascii="宋体" w:hAnsi="宋体"/>
                <w:sz w:val="18"/>
                <w:szCs w:val="18"/>
              </w:rPr>
            </w:pPr>
          </w:p>
        </w:tc>
        <w:tc>
          <w:tcPr>
            <w:tcW w:w="3311" w:type="dxa"/>
            <w:vAlign w:val="center"/>
          </w:tcPr>
          <w:p>
            <w:pPr>
              <w:spacing w:line="240" w:lineRule="auto"/>
              <w:jc w:val="left"/>
              <w:rPr>
                <w:rFonts w:ascii="宋体" w:hAnsi="宋体"/>
                <w:sz w:val="18"/>
                <w:szCs w:val="18"/>
              </w:rPr>
            </w:pPr>
            <w:r>
              <w:rPr>
                <w:rFonts w:ascii="宋体" w:hAnsi="宋体"/>
                <w:sz w:val="18"/>
                <w:szCs w:val="18"/>
              </w:rPr>
              <w:t>6</w:t>
            </w:r>
            <w:r>
              <w:rPr>
                <w:rFonts w:hint="eastAsia" w:ascii="宋体" w:hAnsi="宋体"/>
                <w:sz w:val="18"/>
                <w:szCs w:val="18"/>
              </w:rPr>
              <w:t>0％</w:t>
            </w:r>
            <w:r>
              <w:rPr>
                <w:rFonts w:ascii="宋体" w:hAnsi="宋体"/>
                <w:sz w:val="18"/>
                <w:szCs w:val="18"/>
              </w:rPr>
              <w:t>吡虫啉悬浮种衣剂</w:t>
            </w:r>
            <w:r>
              <w:rPr>
                <w:rFonts w:hint="eastAsia" w:ascii="宋体" w:hAnsi="宋体"/>
                <w:sz w:val="18"/>
                <w:szCs w:val="18"/>
              </w:rPr>
              <w:t>拌种</w:t>
            </w:r>
          </w:p>
        </w:tc>
        <w:tc>
          <w:tcPr>
            <w:tcW w:w="2533"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91" w:type="dxa"/>
            <w:vMerge w:val="continue"/>
            <w:vAlign w:val="center"/>
          </w:tcPr>
          <w:p>
            <w:pPr>
              <w:spacing w:line="240" w:lineRule="auto"/>
              <w:jc w:val="center"/>
              <w:rPr>
                <w:rFonts w:ascii="宋体" w:hAnsi="宋体"/>
                <w:sz w:val="18"/>
                <w:szCs w:val="18"/>
              </w:rPr>
            </w:pPr>
          </w:p>
        </w:tc>
        <w:tc>
          <w:tcPr>
            <w:tcW w:w="1934" w:type="dxa"/>
            <w:vMerge w:val="continue"/>
            <w:vAlign w:val="center"/>
          </w:tcPr>
          <w:p>
            <w:pPr>
              <w:spacing w:line="240" w:lineRule="auto"/>
              <w:jc w:val="left"/>
              <w:rPr>
                <w:rFonts w:ascii="宋体" w:hAnsi="宋体"/>
                <w:sz w:val="18"/>
                <w:szCs w:val="18"/>
              </w:rPr>
            </w:pPr>
          </w:p>
        </w:tc>
        <w:tc>
          <w:tcPr>
            <w:tcW w:w="3311" w:type="dxa"/>
            <w:vAlign w:val="center"/>
          </w:tcPr>
          <w:p>
            <w:pPr>
              <w:spacing w:line="240" w:lineRule="auto"/>
              <w:jc w:val="left"/>
              <w:rPr>
                <w:rFonts w:ascii="宋体" w:hAnsi="宋体"/>
                <w:sz w:val="18"/>
                <w:szCs w:val="18"/>
              </w:rPr>
            </w:pPr>
            <w:r>
              <w:rPr>
                <w:rFonts w:hint="eastAsia" w:ascii="宋体" w:hAnsi="宋体"/>
                <w:sz w:val="18"/>
                <w:szCs w:val="18"/>
              </w:rPr>
              <w:t>35％噻虫嗪悬浮剂2</w:t>
            </w:r>
            <w:r>
              <w:rPr>
                <w:rFonts w:hint="eastAsia" w:ascii="MS Gothic" w:hAnsi="MS Gothic" w:eastAsia="MS Gothic" w:cs="MS Gothic"/>
                <w:sz w:val="18"/>
                <w:szCs w:val="18"/>
              </w:rPr>
              <w:t> </w:t>
            </w:r>
            <w:r>
              <w:rPr>
                <w:rFonts w:hint="eastAsia" w:ascii="宋体" w:hAnsi="宋体"/>
                <w:sz w:val="18"/>
                <w:szCs w:val="18"/>
              </w:rPr>
              <w:t>000</w:t>
            </w:r>
            <w:r>
              <w:rPr>
                <w:rFonts w:ascii="宋体" w:hAnsi="宋体"/>
                <w:sz w:val="18"/>
                <w:szCs w:val="18"/>
              </w:rPr>
              <w:t>～</w:t>
            </w:r>
            <w:r>
              <w:rPr>
                <w:rFonts w:hint="eastAsia" w:ascii="宋体" w:hAnsi="宋体"/>
                <w:sz w:val="18"/>
                <w:szCs w:val="18"/>
              </w:rPr>
              <w:t>3</w:t>
            </w:r>
            <w:r>
              <w:rPr>
                <w:rFonts w:hint="eastAsia" w:ascii="MS Gothic" w:hAnsi="MS Gothic" w:eastAsia="MS Gothic" w:cs="MS Gothic"/>
                <w:sz w:val="18"/>
                <w:szCs w:val="18"/>
              </w:rPr>
              <w:t> </w:t>
            </w:r>
            <w:r>
              <w:rPr>
                <w:rFonts w:hint="eastAsia" w:ascii="宋体" w:hAnsi="宋体"/>
                <w:sz w:val="18"/>
                <w:szCs w:val="18"/>
              </w:rPr>
              <w:t>000倍液</w:t>
            </w:r>
          </w:p>
        </w:tc>
        <w:tc>
          <w:tcPr>
            <w:tcW w:w="2533"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91" w:type="dxa"/>
            <w:vMerge w:val="continue"/>
            <w:vAlign w:val="center"/>
          </w:tcPr>
          <w:p>
            <w:pPr>
              <w:spacing w:line="240" w:lineRule="auto"/>
              <w:jc w:val="center"/>
              <w:rPr>
                <w:rFonts w:ascii="宋体" w:hAnsi="宋体"/>
                <w:sz w:val="18"/>
                <w:szCs w:val="18"/>
              </w:rPr>
            </w:pPr>
          </w:p>
        </w:tc>
        <w:tc>
          <w:tcPr>
            <w:tcW w:w="1934" w:type="dxa"/>
            <w:vMerge w:val="continue"/>
            <w:vAlign w:val="center"/>
          </w:tcPr>
          <w:p>
            <w:pPr>
              <w:spacing w:line="240" w:lineRule="auto"/>
              <w:jc w:val="left"/>
              <w:rPr>
                <w:rFonts w:ascii="宋体" w:hAnsi="宋体"/>
                <w:sz w:val="18"/>
                <w:szCs w:val="18"/>
              </w:rPr>
            </w:pPr>
          </w:p>
        </w:tc>
        <w:tc>
          <w:tcPr>
            <w:tcW w:w="3311" w:type="dxa"/>
            <w:vAlign w:val="center"/>
          </w:tcPr>
          <w:p>
            <w:pPr>
              <w:spacing w:line="240" w:lineRule="auto"/>
              <w:jc w:val="left"/>
              <w:rPr>
                <w:rFonts w:ascii="宋体" w:hAnsi="宋体"/>
                <w:sz w:val="18"/>
                <w:szCs w:val="18"/>
              </w:rPr>
            </w:pPr>
            <w:r>
              <w:rPr>
                <w:rFonts w:hint="eastAsia" w:ascii="宋体" w:hAnsi="宋体"/>
                <w:sz w:val="18"/>
                <w:szCs w:val="18"/>
              </w:rPr>
              <w:t>80％敌百虫可湿性粉剂1</w:t>
            </w:r>
            <w:r>
              <w:rPr>
                <w:rFonts w:hint="eastAsia" w:ascii="MS Gothic" w:hAnsi="MS Gothic" w:eastAsia="MS Gothic" w:cs="MS Gothic"/>
                <w:sz w:val="18"/>
                <w:szCs w:val="18"/>
              </w:rPr>
              <w:t> </w:t>
            </w:r>
            <w:r>
              <w:rPr>
                <w:rFonts w:hint="eastAsia" w:ascii="宋体" w:hAnsi="宋体"/>
                <w:sz w:val="18"/>
                <w:szCs w:val="18"/>
              </w:rPr>
              <w:t>000</w:t>
            </w:r>
            <w:r>
              <w:rPr>
                <w:rFonts w:ascii="宋体" w:hAnsi="宋体"/>
                <w:sz w:val="18"/>
                <w:szCs w:val="18"/>
              </w:rPr>
              <w:t>倍液</w:t>
            </w:r>
          </w:p>
        </w:tc>
        <w:tc>
          <w:tcPr>
            <w:tcW w:w="2533"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91" w:type="dxa"/>
            <w:vMerge w:val="continue"/>
            <w:vAlign w:val="center"/>
          </w:tcPr>
          <w:p>
            <w:pPr>
              <w:spacing w:line="240" w:lineRule="auto"/>
              <w:jc w:val="center"/>
              <w:rPr>
                <w:rFonts w:ascii="宋体" w:hAnsi="宋体"/>
                <w:sz w:val="18"/>
                <w:szCs w:val="18"/>
              </w:rPr>
            </w:pPr>
          </w:p>
        </w:tc>
        <w:tc>
          <w:tcPr>
            <w:tcW w:w="1934" w:type="dxa"/>
            <w:vMerge w:val="continue"/>
            <w:vAlign w:val="center"/>
          </w:tcPr>
          <w:p>
            <w:pPr>
              <w:spacing w:line="240" w:lineRule="auto"/>
              <w:jc w:val="left"/>
              <w:rPr>
                <w:rFonts w:ascii="宋体" w:hAnsi="宋体"/>
                <w:sz w:val="18"/>
                <w:szCs w:val="18"/>
              </w:rPr>
            </w:pPr>
          </w:p>
        </w:tc>
        <w:tc>
          <w:tcPr>
            <w:tcW w:w="3311" w:type="dxa"/>
            <w:vAlign w:val="center"/>
          </w:tcPr>
          <w:p>
            <w:pPr>
              <w:spacing w:line="240" w:lineRule="auto"/>
              <w:jc w:val="left"/>
              <w:rPr>
                <w:rFonts w:ascii="宋体" w:hAnsi="宋体"/>
                <w:sz w:val="18"/>
                <w:szCs w:val="18"/>
              </w:rPr>
            </w:pPr>
            <w:r>
              <w:rPr>
                <w:rFonts w:ascii="宋体" w:hAnsi="宋体"/>
                <w:sz w:val="18"/>
                <w:szCs w:val="18"/>
              </w:rPr>
              <w:t>5％阿维菌素乳油</w:t>
            </w:r>
            <w:r>
              <w:rPr>
                <w:rFonts w:hint="eastAsia" w:ascii="宋体" w:hAnsi="宋体"/>
                <w:sz w:val="18"/>
                <w:szCs w:val="18"/>
              </w:rPr>
              <w:t>1</w:t>
            </w:r>
            <w:r>
              <w:rPr>
                <w:rFonts w:hint="eastAsia" w:ascii="MS Gothic" w:hAnsi="MS Gothic" w:eastAsia="MS Gothic" w:cs="MS Gothic"/>
                <w:sz w:val="18"/>
                <w:szCs w:val="18"/>
              </w:rPr>
              <w:t> </w:t>
            </w:r>
            <w:r>
              <w:rPr>
                <w:rFonts w:hint="eastAsia" w:ascii="宋体" w:hAnsi="宋体"/>
                <w:sz w:val="18"/>
                <w:szCs w:val="18"/>
              </w:rPr>
              <w:t>000</w:t>
            </w:r>
            <w:r>
              <w:rPr>
                <w:rFonts w:ascii="宋体" w:hAnsi="宋体"/>
                <w:sz w:val="18"/>
                <w:szCs w:val="18"/>
              </w:rPr>
              <w:t>倍液</w:t>
            </w:r>
          </w:p>
        </w:tc>
        <w:tc>
          <w:tcPr>
            <w:tcW w:w="2533"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891" w:type="dxa"/>
            <w:vMerge w:val="restart"/>
            <w:vAlign w:val="center"/>
          </w:tcPr>
          <w:p>
            <w:pPr>
              <w:spacing w:line="240" w:lineRule="auto"/>
              <w:jc w:val="center"/>
              <w:rPr>
                <w:rFonts w:ascii="宋体" w:hAnsi="宋体"/>
                <w:sz w:val="18"/>
                <w:szCs w:val="18"/>
              </w:rPr>
            </w:pPr>
            <w:r>
              <w:rPr>
                <w:rFonts w:hint="eastAsia" w:ascii="宋体" w:hAnsi="宋体"/>
                <w:sz w:val="18"/>
                <w:szCs w:val="18"/>
              </w:rPr>
              <w:t>二十八星瓢虫</w:t>
            </w:r>
          </w:p>
        </w:tc>
        <w:tc>
          <w:tcPr>
            <w:tcW w:w="1934" w:type="dxa"/>
            <w:vMerge w:val="restart"/>
            <w:vAlign w:val="center"/>
          </w:tcPr>
          <w:p>
            <w:pPr>
              <w:spacing w:line="240" w:lineRule="auto"/>
              <w:jc w:val="left"/>
              <w:rPr>
                <w:rFonts w:ascii="宋体" w:hAnsi="宋体"/>
                <w:sz w:val="18"/>
                <w:szCs w:val="18"/>
              </w:rPr>
            </w:pPr>
            <w:r>
              <w:rPr>
                <w:rFonts w:hint="eastAsia" w:ascii="宋体" w:hAnsi="宋体"/>
                <w:sz w:val="18"/>
                <w:szCs w:val="18"/>
              </w:rPr>
              <w:t>温度20℃开始活动，危害叶片</w:t>
            </w:r>
          </w:p>
        </w:tc>
        <w:tc>
          <w:tcPr>
            <w:tcW w:w="3311" w:type="dxa"/>
            <w:vAlign w:val="center"/>
          </w:tcPr>
          <w:p>
            <w:pPr>
              <w:spacing w:line="240" w:lineRule="auto"/>
              <w:jc w:val="left"/>
              <w:rPr>
                <w:rFonts w:ascii="宋体" w:hAnsi="宋体"/>
                <w:sz w:val="18"/>
                <w:szCs w:val="18"/>
              </w:rPr>
            </w:pPr>
            <w:r>
              <w:rPr>
                <w:rFonts w:ascii="宋体" w:hAnsi="宋体"/>
                <w:sz w:val="18"/>
                <w:szCs w:val="18"/>
              </w:rPr>
              <w:t>35％</w:t>
            </w:r>
            <w:r>
              <w:rPr>
                <w:rFonts w:hint="eastAsia" w:ascii="宋体" w:hAnsi="宋体"/>
                <w:sz w:val="18"/>
                <w:szCs w:val="18"/>
              </w:rPr>
              <w:t>丁硫克百威</w:t>
            </w:r>
            <w:r>
              <w:rPr>
                <w:rFonts w:ascii="宋体" w:hAnsi="宋体"/>
                <w:sz w:val="18"/>
                <w:szCs w:val="18"/>
              </w:rPr>
              <w:t>种子处理干粉剂</w:t>
            </w:r>
          </w:p>
        </w:tc>
        <w:tc>
          <w:tcPr>
            <w:tcW w:w="2533" w:type="dxa"/>
            <w:vMerge w:val="restart"/>
            <w:vAlign w:val="center"/>
          </w:tcPr>
          <w:p>
            <w:pPr>
              <w:spacing w:line="240" w:lineRule="auto"/>
              <w:jc w:val="left"/>
              <w:rPr>
                <w:rFonts w:ascii="宋体" w:hAnsi="宋体"/>
                <w:sz w:val="18"/>
                <w:szCs w:val="18"/>
              </w:rPr>
            </w:pPr>
            <w:r>
              <w:rPr>
                <w:rFonts w:hint="eastAsia" w:ascii="宋体" w:hAnsi="宋体"/>
                <w:sz w:val="18"/>
                <w:szCs w:val="18"/>
              </w:rPr>
              <w:t>保证每20</w:t>
            </w:r>
            <w:r>
              <w:rPr>
                <w:rFonts w:hint="eastAsia" w:ascii="宋体" w:hAnsi="宋体"/>
                <w:sz w:val="18"/>
                <w:szCs w:val="18"/>
                <w:vertAlign w:val="superscript"/>
              </w:rPr>
              <w:t xml:space="preserve"> </w:t>
            </w:r>
            <w:r>
              <w:rPr>
                <w:rFonts w:hint="eastAsia" w:ascii="宋体" w:hAnsi="宋体"/>
                <w:sz w:val="18"/>
                <w:szCs w:val="18"/>
              </w:rPr>
              <w:t>mL药液拌种10</w:t>
            </w:r>
            <w:r>
              <w:rPr>
                <w:rFonts w:hint="eastAsia" w:ascii="宋体" w:hAnsi="宋体"/>
                <w:sz w:val="18"/>
                <w:szCs w:val="18"/>
                <w:vertAlign w:val="superscript"/>
              </w:rPr>
              <w:t xml:space="preserve"> </w:t>
            </w:r>
            <w:r>
              <w:rPr>
                <w:rFonts w:hint="eastAsia" w:ascii="宋体" w:hAnsi="宋体"/>
                <w:sz w:val="18"/>
                <w:szCs w:val="18"/>
              </w:rPr>
              <w:t>kg马铃薯块茎。</w:t>
            </w:r>
          </w:p>
          <w:p>
            <w:pPr>
              <w:spacing w:line="240" w:lineRule="auto"/>
              <w:jc w:val="left"/>
              <w:rPr>
                <w:rFonts w:ascii="宋体" w:hAnsi="宋体"/>
                <w:sz w:val="18"/>
                <w:szCs w:val="18"/>
              </w:rPr>
            </w:pPr>
            <w:r>
              <w:rPr>
                <w:rFonts w:hint="eastAsia" w:ascii="宋体" w:hAnsi="宋体"/>
                <w:sz w:val="18"/>
                <w:szCs w:val="18"/>
              </w:rPr>
              <w:t>发病初期，间隔</w:t>
            </w:r>
            <w:r>
              <w:rPr>
                <w:rFonts w:ascii="宋体" w:hAnsi="宋体"/>
                <w:sz w:val="18"/>
                <w:szCs w:val="18"/>
              </w:rPr>
              <w:t>10</w:t>
            </w:r>
            <w:r>
              <w:rPr>
                <w:rFonts w:hint="eastAsia" w:ascii="MS Gothic" w:hAnsi="MS Gothic" w:eastAsia="MS Gothic" w:cs="MS Gothic"/>
                <w:sz w:val="18"/>
                <w:szCs w:val="18"/>
              </w:rPr>
              <w:t> </w:t>
            </w:r>
            <w:r>
              <w:rPr>
                <w:rFonts w:hint="eastAsia" w:ascii="宋体" w:hAnsi="宋体"/>
                <w:sz w:val="18"/>
                <w:szCs w:val="18"/>
              </w:rPr>
              <w:t>d</w:t>
            </w:r>
            <w:r>
              <w:rPr>
                <w:rFonts w:ascii="宋体" w:hAnsi="宋体"/>
                <w:sz w:val="18"/>
                <w:szCs w:val="18"/>
              </w:rPr>
              <w:t>～20</w:t>
            </w:r>
            <w:r>
              <w:rPr>
                <w:rFonts w:hint="eastAsia" w:ascii="MS Gothic" w:hAnsi="MS Gothic" w:eastAsia="MS Gothic" w:cs="MS Gothic"/>
                <w:sz w:val="18"/>
                <w:szCs w:val="18"/>
              </w:rPr>
              <w:t> </w:t>
            </w:r>
            <w:r>
              <w:rPr>
                <w:rFonts w:hint="eastAsia" w:ascii="宋体" w:hAnsi="宋体"/>
                <w:sz w:val="18"/>
                <w:szCs w:val="18"/>
              </w:rPr>
              <w:t>d喷一次，连续防治1</w:t>
            </w:r>
            <w:r>
              <w:rPr>
                <w:rFonts w:ascii="宋体" w:hAnsi="宋体"/>
                <w:sz w:val="18"/>
                <w:szCs w:val="18"/>
              </w:rPr>
              <w:t>～</w:t>
            </w:r>
            <w:r>
              <w:rPr>
                <w:rFonts w:hint="eastAsia" w:ascii="宋体" w:hAnsi="宋体"/>
                <w:sz w:val="18"/>
                <w:szCs w:val="18"/>
              </w:rPr>
              <w:t>2次。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91" w:type="dxa"/>
            <w:vMerge w:val="continue"/>
            <w:vAlign w:val="center"/>
          </w:tcPr>
          <w:p>
            <w:pPr>
              <w:spacing w:line="240" w:lineRule="auto"/>
              <w:jc w:val="center"/>
              <w:rPr>
                <w:rFonts w:ascii="宋体" w:hAnsi="宋体"/>
                <w:sz w:val="18"/>
                <w:szCs w:val="18"/>
              </w:rPr>
            </w:pPr>
          </w:p>
        </w:tc>
        <w:tc>
          <w:tcPr>
            <w:tcW w:w="1934" w:type="dxa"/>
            <w:vMerge w:val="continue"/>
            <w:vAlign w:val="center"/>
          </w:tcPr>
          <w:p>
            <w:pPr>
              <w:spacing w:line="240" w:lineRule="auto"/>
              <w:jc w:val="left"/>
              <w:rPr>
                <w:rFonts w:ascii="宋体" w:hAnsi="宋体"/>
                <w:sz w:val="18"/>
                <w:szCs w:val="18"/>
              </w:rPr>
            </w:pPr>
          </w:p>
        </w:tc>
        <w:tc>
          <w:tcPr>
            <w:tcW w:w="3311" w:type="dxa"/>
            <w:vAlign w:val="center"/>
          </w:tcPr>
          <w:p>
            <w:pPr>
              <w:spacing w:line="240" w:lineRule="auto"/>
              <w:jc w:val="left"/>
              <w:rPr>
                <w:rFonts w:ascii="宋体" w:hAnsi="宋体"/>
                <w:sz w:val="18"/>
                <w:szCs w:val="18"/>
              </w:rPr>
            </w:pPr>
            <w:r>
              <w:rPr>
                <w:rFonts w:ascii="宋体" w:hAnsi="宋体"/>
                <w:sz w:val="18"/>
                <w:szCs w:val="18"/>
              </w:rPr>
              <w:t>10％吡虫啉可湿性粉剂</w:t>
            </w:r>
            <w:r>
              <w:rPr>
                <w:rFonts w:hint="eastAsia" w:ascii="宋体" w:hAnsi="宋体"/>
                <w:sz w:val="18"/>
                <w:szCs w:val="18"/>
              </w:rPr>
              <w:t>2</w:t>
            </w:r>
            <w:r>
              <w:rPr>
                <w:rFonts w:hint="eastAsia" w:ascii="MS Gothic" w:hAnsi="MS Gothic" w:eastAsia="MS Gothic" w:cs="MS Gothic"/>
                <w:sz w:val="18"/>
                <w:szCs w:val="18"/>
              </w:rPr>
              <w:t> </w:t>
            </w:r>
            <w:r>
              <w:rPr>
                <w:rFonts w:hint="eastAsia" w:ascii="宋体" w:hAnsi="宋体"/>
                <w:sz w:val="18"/>
                <w:szCs w:val="18"/>
              </w:rPr>
              <w:t>000</w:t>
            </w:r>
            <w:r>
              <w:rPr>
                <w:rFonts w:ascii="宋体" w:hAnsi="宋体"/>
                <w:sz w:val="18"/>
                <w:szCs w:val="18"/>
              </w:rPr>
              <w:t>～</w:t>
            </w:r>
            <w:r>
              <w:rPr>
                <w:rFonts w:hint="eastAsia" w:ascii="宋体" w:hAnsi="宋体"/>
                <w:sz w:val="18"/>
                <w:szCs w:val="18"/>
              </w:rPr>
              <w:t>5</w:t>
            </w:r>
            <w:r>
              <w:rPr>
                <w:rFonts w:hint="eastAsia" w:ascii="MS Gothic" w:hAnsi="MS Gothic" w:eastAsia="MS Gothic" w:cs="MS Gothic"/>
                <w:sz w:val="18"/>
                <w:szCs w:val="18"/>
              </w:rPr>
              <w:t> </w:t>
            </w:r>
            <w:r>
              <w:rPr>
                <w:rFonts w:hint="eastAsia" w:ascii="宋体" w:hAnsi="宋体"/>
                <w:sz w:val="18"/>
                <w:szCs w:val="18"/>
              </w:rPr>
              <w:t>00</w:t>
            </w:r>
            <w:r>
              <w:rPr>
                <w:rFonts w:ascii="宋体" w:hAnsi="宋体"/>
                <w:sz w:val="18"/>
                <w:szCs w:val="18"/>
              </w:rPr>
              <w:t>0</w:t>
            </w:r>
            <w:r>
              <w:rPr>
                <w:rFonts w:hint="eastAsia" w:ascii="宋体" w:hAnsi="宋体"/>
                <w:sz w:val="18"/>
                <w:szCs w:val="18"/>
              </w:rPr>
              <w:t>倍液</w:t>
            </w:r>
          </w:p>
        </w:tc>
        <w:tc>
          <w:tcPr>
            <w:tcW w:w="2533" w:type="dxa"/>
            <w:vMerge w:val="continue"/>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91" w:type="dxa"/>
            <w:vMerge w:val="restart"/>
            <w:vAlign w:val="center"/>
          </w:tcPr>
          <w:p>
            <w:pPr>
              <w:spacing w:line="240" w:lineRule="auto"/>
              <w:jc w:val="center"/>
              <w:rPr>
                <w:rFonts w:ascii="宋体" w:hAnsi="宋体"/>
                <w:sz w:val="18"/>
                <w:szCs w:val="18"/>
              </w:rPr>
            </w:pPr>
            <w:r>
              <w:rPr>
                <w:rFonts w:hint="eastAsia" w:ascii="宋体" w:hAnsi="宋体"/>
                <w:sz w:val="18"/>
                <w:szCs w:val="18"/>
              </w:rPr>
              <w:t>块茎蛾</w:t>
            </w:r>
          </w:p>
        </w:tc>
        <w:tc>
          <w:tcPr>
            <w:tcW w:w="1934" w:type="dxa"/>
            <w:vMerge w:val="restart"/>
            <w:vAlign w:val="center"/>
          </w:tcPr>
          <w:p>
            <w:pPr>
              <w:spacing w:line="240" w:lineRule="auto"/>
              <w:jc w:val="left"/>
              <w:rPr>
                <w:rFonts w:ascii="宋体" w:hAnsi="宋体"/>
                <w:sz w:val="18"/>
                <w:szCs w:val="18"/>
              </w:rPr>
            </w:pPr>
            <w:r>
              <w:rPr>
                <w:rFonts w:hint="eastAsia" w:ascii="宋体" w:hAnsi="宋体"/>
                <w:sz w:val="18"/>
                <w:szCs w:val="18"/>
              </w:rPr>
              <w:t>幼苗期，斜纹夜蛾</w:t>
            </w:r>
            <w:r>
              <w:rPr>
                <w:rFonts w:ascii="宋体" w:hAnsi="宋体"/>
                <w:sz w:val="18"/>
                <w:szCs w:val="18"/>
              </w:rPr>
              <w:t>一般</w:t>
            </w:r>
            <w:r>
              <w:rPr>
                <w:rFonts w:hint="eastAsia" w:ascii="宋体" w:hAnsi="宋体"/>
                <w:sz w:val="18"/>
                <w:szCs w:val="18"/>
              </w:rPr>
              <w:t>危害</w:t>
            </w:r>
            <w:r>
              <w:rPr>
                <w:rFonts w:ascii="宋体" w:hAnsi="宋体"/>
                <w:sz w:val="18"/>
                <w:szCs w:val="18"/>
              </w:rPr>
              <w:t>顶芽，</w:t>
            </w:r>
            <w:r>
              <w:rPr>
                <w:rFonts w:hint="eastAsia" w:ascii="宋体" w:hAnsi="宋体"/>
                <w:sz w:val="18"/>
                <w:szCs w:val="18"/>
              </w:rPr>
              <w:t>在叶片生长期，幼虫蛀食植株底部叶片和块茎。</w:t>
            </w:r>
          </w:p>
        </w:tc>
        <w:tc>
          <w:tcPr>
            <w:tcW w:w="3311" w:type="dxa"/>
            <w:vAlign w:val="center"/>
          </w:tcPr>
          <w:p>
            <w:pPr>
              <w:spacing w:line="240" w:lineRule="auto"/>
              <w:jc w:val="left"/>
              <w:rPr>
                <w:rFonts w:ascii="宋体" w:hAnsi="宋体"/>
                <w:sz w:val="18"/>
                <w:szCs w:val="18"/>
              </w:rPr>
            </w:pPr>
            <w:r>
              <w:rPr>
                <w:rFonts w:hint="eastAsia" w:ascii="宋体" w:hAnsi="宋体"/>
                <w:sz w:val="18"/>
                <w:szCs w:val="18"/>
              </w:rPr>
              <w:t>15％茚虫威悬浮液1</w:t>
            </w:r>
            <w:r>
              <w:rPr>
                <w:rFonts w:hint="eastAsia" w:ascii="MS Gothic" w:hAnsi="MS Gothic" w:eastAsia="MS Gothic" w:cs="MS Gothic"/>
                <w:sz w:val="18"/>
                <w:szCs w:val="18"/>
              </w:rPr>
              <w:t> </w:t>
            </w:r>
            <w:r>
              <w:rPr>
                <w:rFonts w:hint="eastAsia" w:ascii="宋体" w:hAnsi="宋体"/>
                <w:sz w:val="18"/>
                <w:szCs w:val="18"/>
              </w:rPr>
              <w:t>000</w:t>
            </w:r>
            <w:r>
              <w:rPr>
                <w:rFonts w:ascii="宋体" w:hAnsi="宋体"/>
                <w:sz w:val="18"/>
                <w:szCs w:val="18"/>
              </w:rPr>
              <w:t>倍液</w:t>
            </w:r>
          </w:p>
        </w:tc>
        <w:tc>
          <w:tcPr>
            <w:tcW w:w="2533" w:type="dxa"/>
            <w:vMerge w:val="restart"/>
            <w:vAlign w:val="center"/>
          </w:tcPr>
          <w:p>
            <w:pPr>
              <w:spacing w:line="240" w:lineRule="auto"/>
              <w:jc w:val="left"/>
              <w:rPr>
                <w:rFonts w:ascii="宋体" w:hAnsi="宋体"/>
                <w:sz w:val="18"/>
                <w:szCs w:val="18"/>
              </w:rPr>
            </w:pPr>
            <w:r>
              <w:rPr>
                <w:rFonts w:hint="eastAsia" w:ascii="宋体" w:hAnsi="宋体"/>
                <w:sz w:val="18"/>
                <w:szCs w:val="18"/>
              </w:rPr>
              <w:t>于苗期、开花期叶面喷施，间隔5</w:t>
            </w:r>
            <w:r>
              <w:rPr>
                <w:rFonts w:hint="eastAsia" w:ascii="MS Gothic" w:hAnsi="MS Gothic" w:eastAsia="MS Gothic" w:cs="MS Gothic"/>
                <w:sz w:val="18"/>
                <w:szCs w:val="18"/>
              </w:rPr>
              <w:t> </w:t>
            </w:r>
            <w:r>
              <w:rPr>
                <w:rFonts w:hint="eastAsia" w:ascii="宋体" w:hAnsi="宋体"/>
                <w:sz w:val="18"/>
                <w:szCs w:val="18"/>
              </w:rPr>
              <w:t>d</w:t>
            </w:r>
            <w:r>
              <w:rPr>
                <w:rFonts w:ascii="宋体" w:hAnsi="宋体"/>
                <w:sz w:val="18"/>
                <w:szCs w:val="18"/>
              </w:rPr>
              <w:t>～</w:t>
            </w:r>
            <w:r>
              <w:rPr>
                <w:rFonts w:hint="eastAsia" w:ascii="宋体" w:hAnsi="宋体"/>
                <w:sz w:val="18"/>
                <w:szCs w:val="18"/>
              </w:rPr>
              <w:t>7</w:t>
            </w:r>
            <w:r>
              <w:rPr>
                <w:rFonts w:hint="eastAsia" w:ascii="MS Gothic" w:hAnsi="MS Gothic" w:eastAsia="MS Gothic" w:cs="MS Gothic"/>
                <w:sz w:val="18"/>
                <w:szCs w:val="18"/>
              </w:rPr>
              <w:t> </w:t>
            </w:r>
            <w:r>
              <w:rPr>
                <w:rFonts w:hint="eastAsia" w:ascii="宋体" w:hAnsi="宋体"/>
                <w:sz w:val="18"/>
                <w:szCs w:val="18"/>
              </w:rPr>
              <w:t>d喷一次，连续防治2</w:t>
            </w:r>
            <w:r>
              <w:rPr>
                <w:rFonts w:ascii="宋体" w:hAnsi="宋体"/>
                <w:sz w:val="18"/>
                <w:szCs w:val="18"/>
              </w:rPr>
              <w:t>～</w:t>
            </w:r>
            <w:r>
              <w:rPr>
                <w:rFonts w:hint="eastAsia" w:ascii="宋体" w:hAnsi="宋体"/>
                <w:sz w:val="18"/>
                <w:szCs w:val="18"/>
              </w:rPr>
              <w:t>3次。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91" w:type="dxa"/>
            <w:vMerge w:val="continue"/>
            <w:vAlign w:val="center"/>
          </w:tcPr>
          <w:p>
            <w:pPr>
              <w:spacing w:line="240" w:lineRule="auto"/>
              <w:jc w:val="center"/>
              <w:rPr>
                <w:rFonts w:ascii="宋体" w:hAnsi="宋体"/>
                <w:sz w:val="18"/>
                <w:szCs w:val="18"/>
              </w:rPr>
            </w:pPr>
          </w:p>
        </w:tc>
        <w:tc>
          <w:tcPr>
            <w:tcW w:w="1934" w:type="dxa"/>
            <w:vMerge w:val="continue"/>
            <w:vAlign w:val="center"/>
          </w:tcPr>
          <w:p>
            <w:pPr>
              <w:spacing w:line="240" w:lineRule="auto"/>
              <w:jc w:val="left"/>
              <w:rPr>
                <w:rFonts w:ascii="宋体" w:hAnsi="宋体"/>
                <w:sz w:val="18"/>
                <w:szCs w:val="18"/>
              </w:rPr>
            </w:pPr>
          </w:p>
        </w:tc>
        <w:tc>
          <w:tcPr>
            <w:tcW w:w="3311" w:type="dxa"/>
            <w:vAlign w:val="center"/>
          </w:tcPr>
          <w:p>
            <w:pPr>
              <w:spacing w:line="240" w:lineRule="auto"/>
              <w:jc w:val="left"/>
              <w:rPr>
                <w:rFonts w:ascii="宋体" w:hAnsi="宋体"/>
                <w:sz w:val="18"/>
                <w:szCs w:val="18"/>
              </w:rPr>
            </w:pPr>
            <w:r>
              <w:rPr>
                <w:rFonts w:hint="eastAsia" w:ascii="宋体" w:hAnsi="宋体"/>
                <w:sz w:val="18"/>
                <w:szCs w:val="18"/>
              </w:rPr>
              <w:t>10％虫螨腈悬浮液1</w:t>
            </w:r>
            <w:r>
              <w:rPr>
                <w:rFonts w:hint="eastAsia" w:ascii="MS Gothic" w:hAnsi="MS Gothic" w:eastAsia="MS Gothic" w:cs="MS Gothic"/>
                <w:sz w:val="18"/>
                <w:szCs w:val="18"/>
              </w:rPr>
              <w:t> </w:t>
            </w:r>
            <w:r>
              <w:rPr>
                <w:rFonts w:hint="eastAsia" w:ascii="宋体" w:hAnsi="宋体"/>
                <w:sz w:val="18"/>
                <w:szCs w:val="18"/>
              </w:rPr>
              <w:t>000</w:t>
            </w:r>
            <w:r>
              <w:rPr>
                <w:rFonts w:ascii="宋体" w:hAnsi="宋体"/>
                <w:sz w:val="18"/>
                <w:szCs w:val="18"/>
              </w:rPr>
              <w:t>倍液</w:t>
            </w:r>
          </w:p>
        </w:tc>
        <w:tc>
          <w:tcPr>
            <w:tcW w:w="2533"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91" w:type="dxa"/>
            <w:vMerge w:val="continue"/>
            <w:vAlign w:val="center"/>
          </w:tcPr>
          <w:p>
            <w:pPr>
              <w:spacing w:line="240" w:lineRule="auto"/>
              <w:jc w:val="center"/>
              <w:rPr>
                <w:rFonts w:ascii="宋体" w:hAnsi="宋体"/>
                <w:sz w:val="18"/>
                <w:szCs w:val="18"/>
              </w:rPr>
            </w:pPr>
          </w:p>
        </w:tc>
        <w:tc>
          <w:tcPr>
            <w:tcW w:w="1934" w:type="dxa"/>
            <w:vMerge w:val="continue"/>
            <w:vAlign w:val="center"/>
          </w:tcPr>
          <w:p>
            <w:pPr>
              <w:spacing w:line="240" w:lineRule="auto"/>
              <w:jc w:val="left"/>
              <w:rPr>
                <w:rFonts w:ascii="宋体" w:hAnsi="宋体"/>
                <w:sz w:val="18"/>
                <w:szCs w:val="18"/>
              </w:rPr>
            </w:pPr>
          </w:p>
        </w:tc>
        <w:tc>
          <w:tcPr>
            <w:tcW w:w="3311" w:type="dxa"/>
            <w:vAlign w:val="center"/>
          </w:tcPr>
          <w:p>
            <w:pPr>
              <w:spacing w:line="240" w:lineRule="auto"/>
              <w:jc w:val="left"/>
              <w:rPr>
                <w:rFonts w:ascii="宋体" w:hAnsi="宋体"/>
                <w:sz w:val="18"/>
                <w:szCs w:val="18"/>
              </w:rPr>
            </w:pPr>
            <w:r>
              <w:rPr>
                <w:rFonts w:hint="eastAsia" w:ascii="宋体" w:hAnsi="宋体"/>
                <w:sz w:val="18"/>
                <w:szCs w:val="18"/>
              </w:rPr>
              <w:t>50％丁醚脲悬浮液1</w:t>
            </w:r>
            <w:r>
              <w:rPr>
                <w:rFonts w:hint="eastAsia" w:ascii="MS Gothic" w:hAnsi="MS Gothic" w:eastAsia="MS Gothic" w:cs="MS Gothic"/>
                <w:sz w:val="18"/>
                <w:szCs w:val="18"/>
              </w:rPr>
              <w:t> </w:t>
            </w:r>
            <w:r>
              <w:rPr>
                <w:rFonts w:hint="eastAsia" w:ascii="宋体" w:hAnsi="宋体"/>
                <w:sz w:val="18"/>
                <w:szCs w:val="18"/>
              </w:rPr>
              <w:t>000</w:t>
            </w:r>
            <w:r>
              <w:rPr>
                <w:rFonts w:ascii="宋体" w:hAnsi="宋体"/>
                <w:sz w:val="18"/>
                <w:szCs w:val="18"/>
              </w:rPr>
              <w:t>倍液</w:t>
            </w:r>
          </w:p>
        </w:tc>
        <w:tc>
          <w:tcPr>
            <w:tcW w:w="2533"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91" w:type="dxa"/>
            <w:vMerge w:val="restart"/>
            <w:vAlign w:val="center"/>
          </w:tcPr>
          <w:p>
            <w:pPr>
              <w:spacing w:line="240" w:lineRule="auto"/>
              <w:jc w:val="center"/>
              <w:rPr>
                <w:rFonts w:ascii="宋体" w:hAnsi="宋体"/>
                <w:sz w:val="18"/>
                <w:szCs w:val="18"/>
              </w:rPr>
            </w:pPr>
            <w:r>
              <w:rPr>
                <w:rFonts w:hint="eastAsia" w:ascii="宋体" w:hAnsi="宋体"/>
                <w:sz w:val="18"/>
                <w:szCs w:val="18"/>
              </w:rPr>
              <w:t>斜纹</w:t>
            </w:r>
          </w:p>
          <w:p>
            <w:pPr>
              <w:spacing w:line="240" w:lineRule="auto"/>
              <w:jc w:val="center"/>
              <w:rPr>
                <w:rFonts w:ascii="宋体" w:hAnsi="宋体"/>
                <w:sz w:val="18"/>
                <w:szCs w:val="18"/>
              </w:rPr>
            </w:pPr>
            <w:r>
              <w:rPr>
                <w:rFonts w:hint="eastAsia" w:ascii="宋体" w:hAnsi="宋体"/>
                <w:sz w:val="18"/>
                <w:szCs w:val="18"/>
              </w:rPr>
              <w:t>夜蛾</w:t>
            </w:r>
          </w:p>
        </w:tc>
        <w:tc>
          <w:tcPr>
            <w:tcW w:w="1934" w:type="dxa"/>
            <w:vMerge w:val="restart"/>
            <w:vAlign w:val="center"/>
          </w:tcPr>
          <w:p>
            <w:pPr>
              <w:spacing w:line="240" w:lineRule="auto"/>
              <w:jc w:val="left"/>
              <w:rPr>
                <w:rFonts w:ascii="宋体" w:hAnsi="宋体"/>
                <w:sz w:val="18"/>
                <w:szCs w:val="18"/>
              </w:rPr>
            </w:pPr>
            <w:r>
              <w:rPr>
                <w:rFonts w:hint="eastAsia" w:ascii="宋体" w:hAnsi="宋体"/>
                <w:sz w:val="18"/>
                <w:szCs w:val="18"/>
              </w:rPr>
              <w:t>常于傍晚取食叶片</w:t>
            </w:r>
          </w:p>
        </w:tc>
        <w:tc>
          <w:tcPr>
            <w:tcW w:w="3311" w:type="dxa"/>
            <w:vAlign w:val="center"/>
          </w:tcPr>
          <w:p>
            <w:pPr>
              <w:spacing w:line="240" w:lineRule="auto"/>
              <w:jc w:val="left"/>
              <w:rPr>
                <w:rFonts w:ascii="宋体" w:hAnsi="宋体"/>
                <w:sz w:val="18"/>
                <w:szCs w:val="18"/>
              </w:rPr>
            </w:pPr>
            <w:r>
              <w:rPr>
                <w:rFonts w:ascii="宋体" w:hAnsi="宋体"/>
                <w:sz w:val="18"/>
                <w:szCs w:val="18"/>
              </w:rPr>
              <w:t>2.5％高效氯氟氰菊酯悬浮</w:t>
            </w:r>
            <w:r>
              <w:rPr>
                <w:rFonts w:hint="eastAsia" w:ascii="宋体" w:hAnsi="宋体"/>
                <w:sz w:val="18"/>
                <w:szCs w:val="18"/>
              </w:rPr>
              <w:t>1</w:t>
            </w:r>
            <w:r>
              <w:rPr>
                <w:rFonts w:hint="eastAsia" w:ascii="MS Gothic" w:hAnsi="MS Gothic" w:eastAsia="MS Gothic" w:cs="MS Gothic"/>
                <w:sz w:val="18"/>
                <w:szCs w:val="18"/>
              </w:rPr>
              <w:t> </w:t>
            </w:r>
            <w:r>
              <w:rPr>
                <w:rFonts w:hint="eastAsia" w:ascii="宋体" w:hAnsi="宋体"/>
                <w:sz w:val="18"/>
                <w:szCs w:val="18"/>
              </w:rPr>
              <w:t>000</w:t>
            </w:r>
            <w:r>
              <w:rPr>
                <w:rFonts w:ascii="宋体" w:hAnsi="宋体"/>
                <w:sz w:val="18"/>
                <w:szCs w:val="18"/>
              </w:rPr>
              <w:t>倍液</w:t>
            </w:r>
          </w:p>
        </w:tc>
        <w:tc>
          <w:tcPr>
            <w:tcW w:w="2533" w:type="dxa"/>
            <w:vMerge w:val="restart"/>
            <w:vAlign w:val="center"/>
          </w:tcPr>
          <w:p>
            <w:pPr>
              <w:spacing w:line="240" w:lineRule="auto"/>
              <w:jc w:val="left"/>
              <w:rPr>
                <w:rFonts w:ascii="宋体" w:hAnsi="宋体"/>
                <w:sz w:val="18"/>
                <w:szCs w:val="18"/>
              </w:rPr>
            </w:pPr>
            <w:r>
              <w:rPr>
                <w:rFonts w:hint="eastAsia" w:ascii="宋体" w:hAnsi="宋体"/>
                <w:sz w:val="18"/>
                <w:szCs w:val="18"/>
              </w:rPr>
              <w:t>发病初期喷施，间隔5</w:t>
            </w:r>
            <w:r>
              <w:rPr>
                <w:rFonts w:hint="eastAsia" w:ascii="MS Gothic" w:hAnsi="MS Gothic" w:eastAsia="MS Gothic" w:cs="MS Gothic"/>
                <w:sz w:val="18"/>
                <w:szCs w:val="18"/>
              </w:rPr>
              <w:t> </w:t>
            </w:r>
            <w:r>
              <w:rPr>
                <w:rFonts w:hint="eastAsia" w:ascii="宋体" w:hAnsi="宋体"/>
                <w:sz w:val="18"/>
                <w:szCs w:val="18"/>
              </w:rPr>
              <w:t>d</w:t>
            </w:r>
            <w:r>
              <w:rPr>
                <w:rFonts w:ascii="宋体" w:hAnsi="宋体"/>
                <w:sz w:val="18"/>
                <w:szCs w:val="18"/>
              </w:rPr>
              <w:t>～</w:t>
            </w:r>
            <w:r>
              <w:rPr>
                <w:rFonts w:hint="eastAsia" w:ascii="宋体" w:hAnsi="宋体"/>
                <w:sz w:val="18"/>
                <w:szCs w:val="18"/>
              </w:rPr>
              <w:t>7</w:t>
            </w:r>
            <w:r>
              <w:rPr>
                <w:rFonts w:hint="eastAsia" w:ascii="MS Gothic" w:hAnsi="MS Gothic" w:eastAsia="MS Gothic" w:cs="MS Gothic"/>
                <w:sz w:val="18"/>
                <w:szCs w:val="18"/>
              </w:rPr>
              <w:t> </w:t>
            </w:r>
            <w:r>
              <w:rPr>
                <w:rFonts w:hint="eastAsia" w:ascii="宋体" w:hAnsi="宋体"/>
                <w:sz w:val="18"/>
                <w:szCs w:val="18"/>
              </w:rPr>
              <w:t>d喷一次，连续防治2</w:t>
            </w:r>
            <w:r>
              <w:rPr>
                <w:rFonts w:ascii="宋体" w:hAnsi="宋体"/>
                <w:sz w:val="18"/>
                <w:szCs w:val="18"/>
              </w:rPr>
              <w:t>～</w:t>
            </w:r>
            <w:r>
              <w:rPr>
                <w:rFonts w:hint="eastAsia" w:ascii="宋体" w:hAnsi="宋体"/>
                <w:sz w:val="18"/>
                <w:szCs w:val="18"/>
              </w:rPr>
              <w:t>3次。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91" w:type="dxa"/>
            <w:vMerge w:val="continue"/>
            <w:vAlign w:val="center"/>
          </w:tcPr>
          <w:p>
            <w:pPr>
              <w:spacing w:line="240" w:lineRule="auto"/>
              <w:jc w:val="center"/>
              <w:rPr>
                <w:rFonts w:ascii="宋体" w:hAnsi="宋体"/>
                <w:sz w:val="18"/>
                <w:szCs w:val="18"/>
              </w:rPr>
            </w:pPr>
          </w:p>
        </w:tc>
        <w:tc>
          <w:tcPr>
            <w:tcW w:w="1934" w:type="dxa"/>
            <w:vMerge w:val="continue"/>
            <w:vAlign w:val="center"/>
          </w:tcPr>
          <w:p>
            <w:pPr>
              <w:spacing w:line="240" w:lineRule="auto"/>
              <w:rPr>
                <w:rFonts w:ascii="宋体" w:hAnsi="宋体"/>
                <w:sz w:val="18"/>
                <w:szCs w:val="18"/>
              </w:rPr>
            </w:pPr>
          </w:p>
        </w:tc>
        <w:tc>
          <w:tcPr>
            <w:tcW w:w="3311" w:type="dxa"/>
            <w:tcBorders>
              <w:bottom w:val="single" w:color="auto" w:sz="4" w:space="0"/>
            </w:tcBorders>
            <w:vAlign w:val="center"/>
          </w:tcPr>
          <w:p>
            <w:pPr>
              <w:spacing w:line="240" w:lineRule="auto"/>
              <w:jc w:val="left"/>
              <w:rPr>
                <w:rFonts w:ascii="宋体" w:hAnsi="宋体"/>
                <w:sz w:val="18"/>
                <w:szCs w:val="18"/>
              </w:rPr>
            </w:pPr>
            <w:r>
              <w:rPr>
                <w:rFonts w:hint="eastAsia" w:ascii="宋体" w:hAnsi="宋体"/>
                <w:sz w:val="18"/>
                <w:szCs w:val="18"/>
              </w:rPr>
              <w:t>80％敌百虫可湿性粉剂1</w:t>
            </w:r>
            <w:r>
              <w:rPr>
                <w:rFonts w:hint="eastAsia" w:ascii="MS Gothic" w:hAnsi="MS Gothic" w:eastAsia="MS Gothic" w:cs="MS Gothic"/>
                <w:sz w:val="18"/>
                <w:szCs w:val="18"/>
              </w:rPr>
              <w:t> </w:t>
            </w:r>
            <w:r>
              <w:rPr>
                <w:rFonts w:hint="eastAsia" w:ascii="宋体" w:hAnsi="宋体"/>
                <w:sz w:val="18"/>
                <w:szCs w:val="18"/>
              </w:rPr>
              <w:t>000</w:t>
            </w:r>
            <w:r>
              <w:rPr>
                <w:rFonts w:ascii="宋体" w:hAnsi="宋体"/>
                <w:sz w:val="18"/>
                <w:szCs w:val="18"/>
              </w:rPr>
              <w:t>倍液</w:t>
            </w:r>
          </w:p>
        </w:tc>
        <w:tc>
          <w:tcPr>
            <w:tcW w:w="2533" w:type="dxa"/>
            <w:vMerge w:val="continue"/>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91" w:type="dxa"/>
            <w:vMerge w:val="continue"/>
            <w:vAlign w:val="center"/>
          </w:tcPr>
          <w:p>
            <w:pPr>
              <w:spacing w:line="240" w:lineRule="auto"/>
              <w:jc w:val="center"/>
              <w:rPr>
                <w:rFonts w:ascii="宋体" w:hAnsi="宋体"/>
                <w:sz w:val="18"/>
                <w:szCs w:val="18"/>
              </w:rPr>
            </w:pPr>
          </w:p>
        </w:tc>
        <w:tc>
          <w:tcPr>
            <w:tcW w:w="1934" w:type="dxa"/>
            <w:vMerge w:val="continue"/>
            <w:vAlign w:val="center"/>
          </w:tcPr>
          <w:p>
            <w:pPr>
              <w:spacing w:line="240" w:lineRule="auto"/>
              <w:rPr>
                <w:rFonts w:ascii="宋体" w:hAnsi="宋体"/>
                <w:sz w:val="18"/>
                <w:szCs w:val="18"/>
              </w:rPr>
            </w:pPr>
          </w:p>
        </w:tc>
        <w:tc>
          <w:tcPr>
            <w:tcW w:w="3311" w:type="dxa"/>
            <w:tcBorders>
              <w:top w:val="single" w:color="auto" w:sz="4" w:space="0"/>
              <w:bottom w:val="single" w:color="auto" w:sz="8" w:space="0"/>
            </w:tcBorders>
            <w:vAlign w:val="center"/>
          </w:tcPr>
          <w:p>
            <w:pPr>
              <w:spacing w:line="240" w:lineRule="auto"/>
              <w:jc w:val="left"/>
              <w:rPr>
                <w:rFonts w:ascii="宋体" w:hAnsi="宋体"/>
                <w:sz w:val="18"/>
                <w:szCs w:val="18"/>
              </w:rPr>
            </w:pPr>
            <w:r>
              <w:rPr>
                <w:rFonts w:ascii="宋体" w:hAnsi="宋体"/>
                <w:sz w:val="18"/>
                <w:szCs w:val="18"/>
              </w:rPr>
              <w:t>5％阿维菌素乳油</w:t>
            </w:r>
            <w:r>
              <w:rPr>
                <w:rFonts w:hint="eastAsia" w:ascii="宋体" w:hAnsi="宋体"/>
                <w:sz w:val="18"/>
                <w:szCs w:val="18"/>
              </w:rPr>
              <w:t>1</w:t>
            </w:r>
            <w:r>
              <w:rPr>
                <w:rFonts w:hint="eastAsia" w:ascii="MS Gothic" w:hAnsi="MS Gothic" w:eastAsia="MS Gothic" w:cs="MS Gothic"/>
                <w:sz w:val="18"/>
                <w:szCs w:val="18"/>
              </w:rPr>
              <w:t> </w:t>
            </w:r>
            <w:r>
              <w:rPr>
                <w:rFonts w:hint="eastAsia" w:ascii="宋体" w:hAnsi="宋体"/>
                <w:sz w:val="18"/>
                <w:szCs w:val="18"/>
              </w:rPr>
              <w:t>000</w:t>
            </w:r>
            <w:r>
              <w:rPr>
                <w:rFonts w:ascii="宋体" w:hAnsi="宋体"/>
                <w:sz w:val="18"/>
                <w:szCs w:val="18"/>
              </w:rPr>
              <w:t>倍液</w:t>
            </w:r>
          </w:p>
        </w:tc>
        <w:tc>
          <w:tcPr>
            <w:tcW w:w="2533" w:type="dxa"/>
            <w:vMerge w:val="continue"/>
          </w:tcPr>
          <w:p>
            <w:pPr>
              <w:spacing w:line="240" w:lineRule="auto"/>
              <w:jc w:val="left"/>
              <w:rPr>
                <w:rFonts w:ascii="宋体" w:hAnsi="宋体"/>
                <w:sz w:val="18"/>
                <w:szCs w:val="18"/>
              </w:rPr>
            </w:pPr>
          </w:p>
        </w:tc>
      </w:tr>
    </w:tbl>
    <w:p>
      <w:pPr>
        <w:pStyle w:val="230"/>
      </w:pPr>
    </w:p>
    <w:p>
      <w:pPr>
        <w:pStyle w:val="56"/>
        <w:ind w:firstLine="420"/>
      </w:pPr>
    </w:p>
    <w:p>
      <w:pPr>
        <w:pStyle w:val="56"/>
        <w:ind w:firstLine="420"/>
      </w:pPr>
    </w:p>
    <w:p>
      <w:pPr>
        <w:pStyle w:val="56"/>
        <w:ind w:firstLine="420"/>
        <w:sectPr>
          <w:headerReference r:id="rId19" w:type="default"/>
          <w:footerReference r:id="rId21" w:type="default"/>
          <w:headerReference r:id="rId20" w:type="even"/>
          <w:footerReference r:id="rId22" w:type="even"/>
          <w:pgSz w:w="11906" w:h="16838"/>
          <w:pgMar w:top="1871" w:right="1134" w:bottom="1134" w:left="1134" w:header="1418" w:footer="1134" w:gutter="284"/>
          <w:cols w:space="425" w:num="1"/>
          <w:formProt w:val="0"/>
          <w:docGrid w:type="lines" w:linePitch="312" w:charSpace="0"/>
        </w:sectPr>
      </w:pPr>
    </w:p>
    <w:p>
      <w:pPr>
        <w:pStyle w:val="198"/>
      </w:pPr>
    </w:p>
    <w:p>
      <w:pPr>
        <w:pStyle w:val="199"/>
      </w:pPr>
    </w:p>
    <w:p>
      <w:pPr>
        <w:pStyle w:val="76"/>
        <w:spacing w:before="78" w:after="156"/>
      </w:pPr>
      <w:r>
        <w:br w:type="textWrapping"/>
      </w:r>
      <w:r>
        <w:rPr>
          <w:rFonts w:hint="eastAsia"/>
        </w:rPr>
        <w:t>（资料性）</w:t>
      </w:r>
      <w:r>
        <w:br w:type="textWrapping"/>
      </w:r>
      <w:r>
        <w:rPr>
          <w:rFonts w:hint="eastAsia"/>
        </w:rPr>
        <w:t>马铃薯生产与销售档案记载表</w:t>
      </w:r>
    </w:p>
    <w:p>
      <w:pPr>
        <w:pStyle w:val="240"/>
        <w:numPr>
          <w:ilvl w:val="1"/>
          <w:numId w:val="4"/>
        </w:numPr>
        <w:spacing w:before="312" w:after="312"/>
      </w:pPr>
      <w:r>
        <w:rPr>
          <w:rFonts w:hint="eastAsia"/>
        </w:rPr>
        <w:t>种植业主基本情况</w:t>
      </w:r>
    </w:p>
    <w:p>
      <w:pPr>
        <w:pStyle w:val="56"/>
        <w:ind w:firstLine="420"/>
      </w:pPr>
      <w:r>
        <w:rPr>
          <w:rFonts w:hint="eastAsia"/>
        </w:rPr>
        <w:t>见表B.1。</w:t>
      </w:r>
    </w:p>
    <w:p>
      <w:pPr>
        <w:pStyle w:val="77"/>
        <w:spacing w:before="156" w:after="156"/>
      </w:pPr>
      <w:r>
        <w:rPr>
          <w:rFonts w:hint="eastAsia"/>
        </w:rPr>
        <w:t>种植业主基本情况</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559"/>
        <w:gridCol w:w="1559"/>
        <w:gridCol w:w="1559"/>
        <w:gridCol w:w="1560"/>
        <w:gridCol w:w="156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559" w:type="dxa"/>
            <w:tcBorders>
              <w:top w:val="single" w:color="auto" w:sz="8" w:space="0"/>
              <w:bottom w:val="single" w:color="auto" w:sz="8" w:space="0"/>
              <w:righ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姓名</w:t>
            </w:r>
          </w:p>
        </w:tc>
        <w:tc>
          <w:tcPr>
            <w:tcW w:w="1559" w:type="dxa"/>
            <w:tcBorders>
              <w:top w:val="single" w:color="auto" w:sz="8" w:space="0"/>
              <w:left w:val="single" w:color="auto" w:sz="8" w:space="0"/>
              <w:bottom w:val="single" w:color="auto" w:sz="8" w:space="0"/>
              <w:righ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文化程度</w:t>
            </w:r>
          </w:p>
        </w:tc>
        <w:tc>
          <w:tcPr>
            <w:tcW w:w="1559" w:type="dxa"/>
            <w:tcBorders>
              <w:top w:val="single" w:color="auto" w:sz="8" w:space="0"/>
              <w:left w:val="single" w:color="auto" w:sz="8" w:space="0"/>
              <w:bottom w:val="single" w:color="auto" w:sz="8" w:space="0"/>
              <w:righ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地址</w:t>
            </w:r>
          </w:p>
        </w:tc>
        <w:tc>
          <w:tcPr>
            <w:tcW w:w="1559" w:type="dxa"/>
            <w:tcBorders>
              <w:top w:val="single" w:color="auto" w:sz="8" w:space="0"/>
              <w:left w:val="single" w:color="auto" w:sz="8" w:space="0"/>
              <w:bottom w:val="single" w:color="auto" w:sz="8" w:space="0"/>
              <w:righ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种植品种</w:t>
            </w:r>
          </w:p>
        </w:tc>
        <w:tc>
          <w:tcPr>
            <w:tcW w:w="1560" w:type="dxa"/>
            <w:tcBorders>
              <w:top w:val="single" w:color="auto" w:sz="8" w:space="0"/>
              <w:left w:val="single" w:color="auto" w:sz="8" w:space="0"/>
              <w:bottom w:val="single" w:color="auto" w:sz="8" w:space="0"/>
              <w:righ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种植面积</w:t>
            </w:r>
          </w:p>
          <w:p>
            <w:pPr>
              <w:spacing w:line="240" w:lineRule="auto"/>
              <w:jc w:val="center"/>
              <w:rPr>
                <w:rFonts w:ascii="宋体" w:hAnsi="宋体"/>
                <w:sz w:val="18"/>
                <w:szCs w:val="18"/>
              </w:rPr>
            </w:pPr>
            <w:r>
              <w:rPr>
                <w:rFonts w:hint="eastAsia" w:ascii="宋体" w:hAnsi="宋体"/>
                <w:sz w:val="18"/>
                <w:szCs w:val="18"/>
              </w:rPr>
              <w:t>（667㎡）</w:t>
            </w:r>
          </w:p>
        </w:tc>
        <w:tc>
          <w:tcPr>
            <w:tcW w:w="1560" w:type="dxa"/>
            <w:tcBorders>
              <w:top w:val="single" w:color="auto" w:sz="8" w:space="0"/>
              <w:left w:val="single" w:color="auto" w:sz="8" w:space="0"/>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生产年度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559" w:type="dxa"/>
            <w:tcBorders>
              <w:top w:val="single" w:color="auto" w:sz="8" w:space="0"/>
            </w:tcBorders>
          </w:tcPr>
          <w:p>
            <w:pPr>
              <w:spacing w:line="240" w:lineRule="auto"/>
              <w:rPr>
                <w:rFonts w:ascii="宋体" w:hAnsi="宋体"/>
                <w:sz w:val="18"/>
                <w:szCs w:val="18"/>
              </w:rPr>
            </w:pPr>
          </w:p>
        </w:tc>
        <w:tc>
          <w:tcPr>
            <w:tcW w:w="1559" w:type="dxa"/>
            <w:tcBorders>
              <w:top w:val="single" w:color="auto" w:sz="8" w:space="0"/>
            </w:tcBorders>
          </w:tcPr>
          <w:p>
            <w:pPr>
              <w:spacing w:line="240" w:lineRule="auto"/>
              <w:rPr>
                <w:rFonts w:ascii="宋体" w:hAnsi="宋体"/>
                <w:sz w:val="18"/>
                <w:szCs w:val="18"/>
              </w:rPr>
            </w:pPr>
          </w:p>
        </w:tc>
        <w:tc>
          <w:tcPr>
            <w:tcW w:w="1559" w:type="dxa"/>
            <w:tcBorders>
              <w:top w:val="single" w:color="auto" w:sz="8" w:space="0"/>
            </w:tcBorders>
          </w:tcPr>
          <w:p>
            <w:pPr>
              <w:spacing w:line="240" w:lineRule="auto"/>
              <w:rPr>
                <w:rFonts w:ascii="宋体" w:hAnsi="宋体"/>
                <w:sz w:val="18"/>
                <w:szCs w:val="18"/>
              </w:rPr>
            </w:pPr>
          </w:p>
        </w:tc>
        <w:tc>
          <w:tcPr>
            <w:tcW w:w="1559" w:type="dxa"/>
            <w:tcBorders>
              <w:top w:val="single" w:color="auto" w:sz="8" w:space="0"/>
            </w:tcBorders>
          </w:tcPr>
          <w:p>
            <w:pPr>
              <w:spacing w:line="240" w:lineRule="auto"/>
              <w:rPr>
                <w:rFonts w:ascii="宋体" w:hAnsi="宋体"/>
                <w:sz w:val="18"/>
                <w:szCs w:val="18"/>
              </w:rPr>
            </w:pPr>
          </w:p>
        </w:tc>
        <w:tc>
          <w:tcPr>
            <w:tcW w:w="1560" w:type="dxa"/>
            <w:tcBorders>
              <w:top w:val="single" w:color="auto" w:sz="8" w:space="0"/>
            </w:tcBorders>
          </w:tcPr>
          <w:p>
            <w:pPr>
              <w:spacing w:line="240" w:lineRule="auto"/>
              <w:rPr>
                <w:rFonts w:ascii="宋体" w:hAnsi="宋体"/>
                <w:sz w:val="18"/>
                <w:szCs w:val="18"/>
              </w:rPr>
            </w:pPr>
          </w:p>
        </w:tc>
        <w:tc>
          <w:tcPr>
            <w:tcW w:w="1560" w:type="dxa"/>
            <w:tcBorders>
              <w:top w:val="single" w:color="auto" w:sz="8" w:space="0"/>
            </w:tcBorders>
          </w:tcPr>
          <w:p>
            <w:pPr>
              <w:spacing w:line="240" w:lineRule="auto"/>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559" w:type="dxa"/>
          </w:tcPr>
          <w:p>
            <w:pPr>
              <w:spacing w:line="240" w:lineRule="auto"/>
              <w:rPr>
                <w:rFonts w:ascii="宋体" w:hAnsi="宋体"/>
                <w:sz w:val="18"/>
                <w:szCs w:val="18"/>
              </w:rPr>
            </w:pPr>
          </w:p>
        </w:tc>
        <w:tc>
          <w:tcPr>
            <w:tcW w:w="1559" w:type="dxa"/>
          </w:tcPr>
          <w:p>
            <w:pPr>
              <w:spacing w:line="240" w:lineRule="auto"/>
              <w:rPr>
                <w:rFonts w:ascii="宋体" w:hAnsi="宋体"/>
                <w:sz w:val="18"/>
                <w:szCs w:val="18"/>
              </w:rPr>
            </w:pPr>
          </w:p>
        </w:tc>
        <w:tc>
          <w:tcPr>
            <w:tcW w:w="1559" w:type="dxa"/>
          </w:tcPr>
          <w:p>
            <w:pPr>
              <w:spacing w:line="240" w:lineRule="auto"/>
              <w:rPr>
                <w:rFonts w:ascii="宋体" w:hAnsi="宋体"/>
                <w:sz w:val="18"/>
                <w:szCs w:val="18"/>
              </w:rPr>
            </w:pPr>
          </w:p>
        </w:tc>
        <w:tc>
          <w:tcPr>
            <w:tcW w:w="1559" w:type="dxa"/>
          </w:tcPr>
          <w:p>
            <w:pPr>
              <w:spacing w:line="240" w:lineRule="auto"/>
              <w:rPr>
                <w:rFonts w:ascii="宋体" w:hAnsi="宋体"/>
                <w:sz w:val="18"/>
                <w:szCs w:val="18"/>
              </w:rPr>
            </w:pPr>
          </w:p>
        </w:tc>
        <w:tc>
          <w:tcPr>
            <w:tcW w:w="1560" w:type="dxa"/>
          </w:tcPr>
          <w:p>
            <w:pPr>
              <w:spacing w:line="240" w:lineRule="auto"/>
              <w:rPr>
                <w:rFonts w:ascii="宋体" w:hAnsi="宋体"/>
                <w:sz w:val="18"/>
                <w:szCs w:val="18"/>
              </w:rPr>
            </w:pPr>
          </w:p>
        </w:tc>
        <w:tc>
          <w:tcPr>
            <w:tcW w:w="1560" w:type="dxa"/>
          </w:tcPr>
          <w:p>
            <w:pPr>
              <w:spacing w:line="240" w:lineRule="auto"/>
              <w:rPr>
                <w:rFonts w:ascii="宋体" w:hAnsi="宋体"/>
                <w:sz w:val="18"/>
                <w:szCs w:val="18"/>
              </w:rPr>
            </w:pPr>
          </w:p>
        </w:tc>
      </w:tr>
    </w:tbl>
    <w:p>
      <w:pPr>
        <w:pStyle w:val="56"/>
        <w:ind w:firstLine="420"/>
      </w:pPr>
    </w:p>
    <w:p>
      <w:pPr>
        <w:pStyle w:val="240"/>
        <w:numPr>
          <w:ilvl w:val="1"/>
          <w:numId w:val="4"/>
        </w:numPr>
        <w:spacing w:before="312" w:after="312"/>
      </w:pPr>
      <w:r>
        <w:rPr>
          <w:rFonts w:hint="eastAsia"/>
        </w:rPr>
        <w:t>主要投入品使用情况</w:t>
      </w:r>
    </w:p>
    <w:p>
      <w:pPr>
        <w:pStyle w:val="241"/>
        <w:numPr>
          <w:ilvl w:val="2"/>
          <w:numId w:val="4"/>
        </w:numPr>
        <w:spacing w:before="156" w:after="156"/>
      </w:pPr>
      <w:r>
        <w:rPr>
          <w:rFonts w:hint="eastAsia"/>
        </w:rPr>
        <w:t>马铃薯种薯使用情况</w:t>
      </w:r>
    </w:p>
    <w:p>
      <w:pPr>
        <w:pStyle w:val="230"/>
      </w:pPr>
      <w:r>
        <w:rPr>
          <w:rFonts w:hint="eastAsia"/>
        </w:rPr>
        <w:t>见表B.2。</w:t>
      </w:r>
    </w:p>
    <w:p>
      <w:pPr>
        <w:pStyle w:val="77"/>
        <w:spacing w:before="156" w:after="156"/>
      </w:pPr>
      <w:r>
        <w:rPr>
          <w:rFonts w:hint="eastAsia"/>
        </w:rPr>
        <w:t>马铃薯种薯使用情况记载表</w:t>
      </w:r>
    </w:p>
    <w:tbl>
      <w:tblPr>
        <w:tblStyle w:val="26"/>
        <w:tblW w:w="1022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gridCol w:w="170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品 种</w:t>
            </w:r>
          </w:p>
        </w:tc>
        <w:tc>
          <w:tcPr>
            <w:tcW w:w="1704"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供种单位及票号</w:t>
            </w:r>
          </w:p>
        </w:tc>
        <w:tc>
          <w:tcPr>
            <w:tcW w:w="1704"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种薯规格</w:t>
            </w:r>
          </w:p>
        </w:tc>
        <w:tc>
          <w:tcPr>
            <w:tcW w:w="1705"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购种数量（kg）</w:t>
            </w:r>
          </w:p>
        </w:tc>
        <w:tc>
          <w:tcPr>
            <w:tcW w:w="1705"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播种时间</w:t>
            </w:r>
          </w:p>
          <w:p>
            <w:pPr>
              <w:spacing w:line="240" w:lineRule="auto"/>
              <w:jc w:val="center"/>
              <w:rPr>
                <w:rFonts w:ascii="宋体" w:hAnsi="宋体"/>
                <w:sz w:val="18"/>
                <w:szCs w:val="18"/>
              </w:rPr>
            </w:pPr>
            <w:r>
              <w:rPr>
                <w:rFonts w:hint="eastAsia" w:ascii="宋体" w:hAnsi="宋体"/>
                <w:sz w:val="18"/>
                <w:szCs w:val="18"/>
              </w:rPr>
              <w:t>（年/月/日）</w:t>
            </w:r>
          </w:p>
        </w:tc>
        <w:tc>
          <w:tcPr>
            <w:tcW w:w="1705"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种植面积</w:t>
            </w:r>
          </w:p>
          <w:p>
            <w:pPr>
              <w:spacing w:line="240" w:lineRule="auto"/>
              <w:jc w:val="center"/>
              <w:rPr>
                <w:rFonts w:ascii="宋体" w:hAnsi="宋体"/>
                <w:sz w:val="18"/>
                <w:szCs w:val="18"/>
              </w:rPr>
            </w:pPr>
            <w:r>
              <w:rPr>
                <w:rFonts w:hint="eastAsia" w:ascii="宋体" w:hAnsi="宋体"/>
                <w:sz w:val="18"/>
                <w:szCs w:val="18"/>
              </w:rPr>
              <w:t>（667㎡）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Borders>
              <w:top w:val="single" w:color="auto" w:sz="8" w:space="0"/>
            </w:tcBorders>
            <w:vAlign w:val="center"/>
          </w:tcPr>
          <w:p>
            <w:pPr>
              <w:spacing w:line="240" w:lineRule="auto"/>
              <w:jc w:val="center"/>
              <w:rPr>
                <w:rFonts w:ascii="宋体" w:hAnsi="宋体"/>
                <w:sz w:val="18"/>
                <w:szCs w:val="18"/>
              </w:rPr>
            </w:pPr>
          </w:p>
        </w:tc>
        <w:tc>
          <w:tcPr>
            <w:tcW w:w="1704" w:type="dxa"/>
            <w:tcBorders>
              <w:top w:val="single" w:color="auto" w:sz="8" w:space="0"/>
            </w:tcBorders>
            <w:vAlign w:val="center"/>
          </w:tcPr>
          <w:p>
            <w:pPr>
              <w:spacing w:line="240" w:lineRule="auto"/>
              <w:jc w:val="center"/>
              <w:rPr>
                <w:rFonts w:ascii="宋体" w:hAnsi="宋体"/>
                <w:sz w:val="18"/>
                <w:szCs w:val="18"/>
              </w:rPr>
            </w:pPr>
          </w:p>
        </w:tc>
        <w:tc>
          <w:tcPr>
            <w:tcW w:w="1704" w:type="dxa"/>
            <w:tcBorders>
              <w:top w:val="single" w:color="auto" w:sz="8" w:space="0"/>
            </w:tcBorders>
            <w:vAlign w:val="center"/>
          </w:tcPr>
          <w:p>
            <w:pPr>
              <w:spacing w:line="240" w:lineRule="auto"/>
              <w:jc w:val="center"/>
              <w:rPr>
                <w:rFonts w:ascii="宋体" w:hAnsi="宋体"/>
                <w:sz w:val="18"/>
                <w:szCs w:val="18"/>
              </w:rPr>
            </w:pPr>
          </w:p>
        </w:tc>
        <w:tc>
          <w:tcPr>
            <w:tcW w:w="1705" w:type="dxa"/>
            <w:tcBorders>
              <w:top w:val="single" w:color="auto" w:sz="8" w:space="0"/>
            </w:tcBorders>
            <w:vAlign w:val="center"/>
          </w:tcPr>
          <w:p>
            <w:pPr>
              <w:spacing w:line="240" w:lineRule="auto"/>
              <w:jc w:val="center"/>
              <w:rPr>
                <w:rFonts w:ascii="宋体" w:hAnsi="宋体"/>
                <w:sz w:val="18"/>
                <w:szCs w:val="18"/>
              </w:rPr>
            </w:pPr>
          </w:p>
        </w:tc>
        <w:tc>
          <w:tcPr>
            <w:tcW w:w="1705" w:type="dxa"/>
            <w:tcBorders>
              <w:top w:val="single" w:color="auto" w:sz="8" w:space="0"/>
            </w:tcBorders>
            <w:vAlign w:val="center"/>
          </w:tcPr>
          <w:p>
            <w:pPr>
              <w:spacing w:line="240" w:lineRule="auto"/>
              <w:jc w:val="center"/>
              <w:rPr>
                <w:rFonts w:ascii="宋体" w:hAnsi="宋体"/>
                <w:sz w:val="18"/>
                <w:szCs w:val="18"/>
              </w:rPr>
            </w:pPr>
          </w:p>
        </w:tc>
        <w:tc>
          <w:tcPr>
            <w:tcW w:w="1705" w:type="dxa"/>
            <w:tcBorders>
              <w:top w:val="single" w:color="auto" w:sz="8" w:space="0"/>
            </w:tcBorders>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spacing w:line="240" w:lineRule="auto"/>
              <w:jc w:val="center"/>
              <w:rPr>
                <w:rFonts w:ascii="宋体" w:hAnsi="宋体"/>
                <w:sz w:val="18"/>
                <w:szCs w:val="18"/>
              </w:rPr>
            </w:pPr>
          </w:p>
        </w:tc>
        <w:tc>
          <w:tcPr>
            <w:tcW w:w="1704" w:type="dxa"/>
            <w:vAlign w:val="center"/>
          </w:tcPr>
          <w:p>
            <w:pPr>
              <w:spacing w:line="240" w:lineRule="auto"/>
              <w:jc w:val="center"/>
              <w:rPr>
                <w:rFonts w:ascii="宋体" w:hAnsi="宋体"/>
                <w:sz w:val="18"/>
                <w:szCs w:val="18"/>
              </w:rPr>
            </w:pPr>
          </w:p>
        </w:tc>
        <w:tc>
          <w:tcPr>
            <w:tcW w:w="1704" w:type="dxa"/>
            <w:vAlign w:val="center"/>
          </w:tcPr>
          <w:p>
            <w:pPr>
              <w:spacing w:line="240" w:lineRule="auto"/>
              <w:jc w:val="center"/>
              <w:rPr>
                <w:rFonts w:ascii="宋体" w:hAnsi="宋体"/>
                <w:sz w:val="18"/>
                <w:szCs w:val="18"/>
              </w:rPr>
            </w:pPr>
          </w:p>
        </w:tc>
        <w:tc>
          <w:tcPr>
            <w:tcW w:w="1705" w:type="dxa"/>
            <w:vAlign w:val="center"/>
          </w:tcPr>
          <w:p>
            <w:pPr>
              <w:spacing w:line="240" w:lineRule="auto"/>
              <w:jc w:val="center"/>
              <w:rPr>
                <w:rFonts w:ascii="宋体" w:hAnsi="宋体"/>
                <w:sz w:val="18"/>
                <w:szCs w:val="18"/>
              </w:rPr>
            </w:pPr>
          </w:p>
        </w:tc>
        <w:tc>
          <w:tcPr>
            <w:tcW w:w="1705" w:type="dxa"/>
            <w:vAlign w:val="center"/>
          </w:tcPr>
          <w:p>
            <w:pPr>
              <w:spacing w:line="240" w:lineRule="auto"/>
              <w:jc w:val="center"/>
              <w:rPr>
                <w:rFonts w:ascii="宋体" w:hAnsi="宋体"/>
                <w:sz w:val="18"/>
                <w:szCs w:val="18"/>
              </w:rPr>
            </w:pPr>
          </w:p>
        </w:tc>
        <w:tc>
          <w:tcPr>
            <w:tcW w:w="1705" w:type="dxa"/>
            <w:vAlign w:val="center"/>
          </w:tcPr>
          <w:p>
            <w:pPr>
              <w:spacing w:line="240" w:lineRule="auto"/>
              <w:jc w:val="center"/>
              <w:rPr>
                <w:rFonts w:ascii="宋体" w:hAnsi="宋体"/>
                <w:sz w:val="18"/>
                <w:szCs w:val="18"/>
              </w:rPr>
            </w:pPr>
          </w:p>
        </w:tc>
      </w:tr>
    </w:tbl>
    <w:p>
      <w:pPr>
        <w:rPr>
          <w:rFonts w:ascii="宋体" w:hAnsi="宋体"/>
          <w:sz w:val="28"/>
          <w:szCs w:val="28"/>
        </w:rPr>
      </w:pPr>
    </w:p>
    <w:p>
      <w:pPr>
        <w:pStyle w:val="241"/>
        <w:numPr>
          <w:ilvl w:val="2"/>
          <w:numId w:val="4"/>
        </w:numPr>
        <w:spacing w:before="156" w:after="156"/>
      </w:pPr>
      <w:r>
        <w:rPr>
          <w:rFonts w:hint="eastAsia"/>
        </w:rPr>
        <w:t>农药使用情况</w:t>
      </w:r>
    </w:p>
    <w:p>
      <w:pPr>
        <w:pStyle w:val="230"/>
      </w:pPr>
      <w:r>
        <w:rPr>
          <w:rFonts w:hint="eastAsia"/>
        </w:rPr>
        <w:t xml:space="preserve">见表B.3。     </w:t>
      </w:r>
    </w:p>
    <w:p>
      <w:pPr>
        <w:pStyle w:val="77"/>
        <w:spacing w:before="156" w:after="156"/>
      </w:pPr>
      <w:r>
        <w:rPr>
          <w:rFonts w:hint="eastAsia"/>
        </w:rPr>
        <w:t>马铃薯生产农药使用情况记载表</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48"/>
        <w:gridCol w:w="1348"/>
        <w:gridCol w:w="1348"/>
        <w:gridCol w:w="1348"/>
        <w:gridCol w:w="1349"/>
        <w:gridCol w:w="1349"/>
        <w:gridCol w:w="134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348"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农药名</w:t>
            </w:r>
          </w:p>
        </w:tc>
        <w:tc>
          <w:tcPr>
            <w:tcW w:w="1348"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供药单位及票号</w:t>
            </w:r>
          </w:p>
        </w:tc>
        <w:tc>
          <w:tcPr>
            <w:tcW w:w="1348"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购药数量</w:t>
            </w:r>
          </w:p>
        </w:tc>
        <w:tc>
          <w:tcPr>
            <w:tcW w:w="1348"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使用时间</w:t>
            </w:r>
          </w:p>
          <w:p>
            <w:pPr>
              <w:spacing w:line="240" w:lineRule="auto"/>
              <w:jc w:val="center"/>
              <w:rPr>
                <w:rFonts w:ascii="宋体" w:hAnsi="宋体"/>
                <w:sz w:val="18"/>
                <w:szCs w:val="18"/>
              </w:rPr>
            </w:pPr>
            <w:r>
              <w:rPr>
                <w:rFonts w:hint="eastAsia" w:ascii="宋体" w:hAnsi="宋体"/>
                <w:sz w:val="18"/>
                <w:szCs w:val="18"/>
              </w:rPr>
              <w:t>（年/月/日）</w:t>
            </w:r>
          </w:p>
        </w:tc>
        <w:tc>
          <w:tcPr>
            <w:tcW w:w="1349"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使用量</w:t>
            </w:r>
          </w:p>
          <w:p>
            <w:pPr>
              <w:spacing w:line="240" w:lineRule="auto"/>
              <w:jc w:val="center"/>
              <w:rPr>
                <w:rFonts w:ascii="宋体" w:hAnsi="宋体"/>
                <w:sz w:val="18"/>
                <w:szCs w:val="18"/>
              </w:rPr>
            </w:pPr>
            <w:r>
              <w:rPr>
                <w:rFonts w:hint="eastAsia" w:ascii="宋体" w:hAnsi="宋体"/>
                <w:sz w:val="18"/>
                <w:szCs w:val="18"/>
              </w:rPr>
              <w:t>（g/mL）</w:t>
            </w:r>
          </w:p>
        </w:tc>
        <w:tc>
          <w:tcPr>
            <w:tcW w:w="1349"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防治面积（667㎡）</w:t>
            </w:r>
          </w:p>
        </w:tc>
        <w:tc>
          <w:tcPr>
            <w:tcW w:w="1349"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防治病虫类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348" w:type="dxa"/>
            <w:tcBorders>
              <w:top w:val="single" w:color="auto" w:sz="8" w:space="0"/>
            </w:tcBorders>
          </w:tcPr>
          <w:p>
            <w:pPr>
              <w:spacing w:line="240" w:lineRule="auto"/>
              <w:jc w:val="center"/>
              <w:rPr>
                <w:rFonts w:ascii="宋体" w:hAnsi="宋体"/>
                <w:sz w:val="18"/>
                <w:szCs w:val="18"/>
              </w:rPr>
            </w:pPr>
          </w:p>
        </w:tc>
        <w:tc>
          <w:tcPr>
            <w:tcW w:w="1348" w:type="dxa"/>
            <w:tcBorders>
              <w:top w:val="single" w:color="auto" w:sz="8" w:space="0"/>
            </w:tcBorders>
          </w:tcPr>
          <w:p>
            <w:pPr>
              <w:spacing w:line="240" w:lineRule="auto"/>
              <w:jc w:val="center"/>
              <w:rPr>
                <w:rFonts w:ascii="宋体" w:hAnsi="宋体"/>
                <w:sz w:val="18"/>
                <w:szCs w:val="18"/>
              </w:rPr>
            </w:pPr>
          </w:p>
        </w:tc>
        <w:tc>
          <w:tcPr>
            <w:tcW w:w="1348" w:type="dxa"/>
            <w:tcBorders>
              <w:top w:val="single" w:color="auto" w:sz="8" w:space="0"/>
            </w:tcBorders>
          </w:tcPr>
          <w:p>
            <w:pPr>
              <w:spacing w:line="240" w:lineRule="auto"/>
              <w:jc w:val="center"/>
              <w:rPr>
                <w:rFonts w:ascii="宋体" w:hAnsi="宋体"/>
                <w:sz w:val="18"/>
                <w:szCs w:val="18"/>
              </w:rPr>
            </w:pPr>
          </w:p>
        </w:tc>
        <w:tc>
          <w:tcPr>
            <w:tcW w:w="1348" w:type="dxa"/>
            <w:tcBorders>
              <w:top w:val="single" w:color="auto" w:sz="8" w:space="0"/>
            </w:tcBorders>
          </w:tcPr>
          <w:p>
            <w:pPr>
              <w:spacing w:line="240" w:lineRule="auto"/>
              <w:jc w:val="center"/>
              <w:rPr>
                <w:rFonts w:ascii="宋体" w:hAnsi="宋体"/>
                <w:sz w:val="18"/>
                <w:szCs w:val="18"/>
              </w:rPr>
            </w:pPr>
          </w:p>
        </w:tc>
        <w:tc>
          <w:tcPr>
            <w:tcW w:w="1349" w:type="dxa"/>
            <w:tcBorders>
              <w:top w:val="single" w:color="auto" w:sz="8" w:space="0"/>
            </w:tcBorders>
          </w:tcPr>
          <w:p>
            <w:pPr>
              <w:spacing w:line="240" w:lineRule="auto"/>
              <w:jc w:val="center"/>
              <w:rPr>
                <w:rFonts w:ascii="宋体" w:hAnsi="宋体"/>
                <w:sz w:val="18"/>
                <w:szCs w:val="18"/>
              </w:rPr>
            </w:pPr>
          </w:p>
        </w:tc>
        <w:tc>
          <w:tcPr>
            <w:tcW w:w="1349" w:type="dxa"/>
            <w:tcBorders>
              <w:top w:val="single" w:color="auto" w:sz="8" w:space="0"/>
            </w:tcBorders>
          </w:tcPr>
          <w:p>
            <w:pPr>
              <w:spacing w:line="240" w:lineRule="auto"/>
              <w:jc w:val="center"/>
              <w:rPr>
                <w:rFonts w:ascii="宋体" w:hAnsi="宋体"/>
                <w:sz w:val="18"/>
                <w:szCs w:val="18"/>
              </w:rPr>
            </w:pPr>
          </w:p>
        </w:tc>
        <w:tc>
          <w:tcPr>
            <w:tcW w:w="1349" w:type="dxa"/>
            <w:tcBorders>
              <w:top w:val="single" w:color="auto" w:sz="8" w:space="0"/>
            </w:tcBorders>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348" w:type="dxa"/>
          </w:tcPr>
          <w:p>
            <w:pPr>
              <w:spacing w:line="240" w:lineRule="auto"/>
              <w:jc w:val="center"/>
              <w:rPr>
                <w:rFonts w:ascii="宋体" w:hAnsi="宋体"/>
                <w:sz w:val="18"/>
                <w:szCs w:val="18"/>
              </w:rPr>
            </w:pPr>
          </w:p>
        </w:tc>
        <w:tc>
          <w:tcPr>
            <w:tcW w:w="1348" w:type="dxa"/>
          </w:tcPr>
          <w:p>
            <w:pPr>
              <w:spacing w:line="240" w:lineRule="auto"/>
              <w:jc w:val="center"/>
              <w:rPr>
                <w:rFonts w:ascii="宋体" w:hAnsi="宋体"/>
                <w:sz w:val="18"/>
                <w:szCs w:val="18"/>
              </w:rPr>
            </w:pPr>
          </w:p>
        </w:tc>
        <w:tc>
          <w:tcPr>
            <w:tcW w:w="1348" w:type="dxa"/>
          </w:tcPr>
          <w:p>
            <w:pPr>
              <w:spacing w:line="240" w:lineRule="auto"/>
              <w:jc w:val="center"/>
              <w:rPr>
                <w:rFonts w:ascii="宋体" w:hAnsi="宋体"/>
                <w:sz w:val="18"/>
                <w:szCs w:val="18"/>
              </w:rPr>
            </w:pPr>
          </w:p>
        </w:tc>
        <w:tc>
          <w:tcPr>
            <w:tcW w:w="1348" w:type="dxa"/>
          </w:tcPr>
          <w:p>
            <w:pPr>
              <w:spacing w:line="240" w:lineRule="auto"/>
              <w:jc w:val="center"/>
              <w:rPr>
                <w:rFonts w:ascii="宋体" w:hAnsi="宋体"/>
                <w:sz w:val="18"/>
                <w:szCs w:val="18"/>
              </w:rPr>
            </w:pPr>
          </w:p>
        </w:tc>
        <w:tc>
          <w:tcPr>
            <w:tcW w:w="1349" w:type="dxa"/>
          </w:tcPr>
          <w:p>
            <w:pPr>
              <w:spacing w:line="240" w:lineRule="auto"/>
              <w:jc w:val="center"/>
              <w:rPr>
                <w:rFonts w:ascii="宋体" w:hAnsi="宋体"/>
                <w:sz w:val="18"/>
                <w:szCs w:val="18"/>
              </w:rPr>
            </w:pPr>
          </w:p>
        </w:tc>
        <w:tc>
          <w:tcPr>
            <w:tcW w:w="1349" w:type="dxa"/>
          </w:tcPr>
          <w:p>
            <w:pPr>
              <w:spacing w:line="240" w:lineRule="auto"/>
              <w:jc w:val="center"/>
              <w:rPr>
                <w:rFonts w:ascii="宋体" w:hAnsi="宋体"/>
                <w:sz w:val="18"/>
                <w:szCs w:val="18"/>
              </w:rPr>
            </w:pPr>
          </w:p>
        </w:tc>
        <w:tc>
          <w:tcPr>
            <w:tcW w:w="1349" w:type="dxa"/>
          </w:tcPr>
          <w:p>
            <w:pPr>
              <w:spacing w:line="240" w:lineRule="auto"/>
              <w:jc w:val="center"/>
              <w:rPr>
                <w:rFonts w:ascii="宋体" w:hAnsi="宋体"/>
                <w:sz w:val="18"/>
                <w:szCs w:val="18"/>
              </w:rPr>
            </w:pPr>
          </w:p>
        </w:tc>
      </w:tr>
    </w:tbl>
    <w:p>
      <w:pPr>
        <w:rPr>
          <w:rFonts w:ascii="宋体" w:hAnsi="宋体"/>
          <w:sz w:val="28"/>
          <w:szCs w:val="28"/>
        </w:rPr>
      </w:pPr>
    </w:p>
    <w:p>
      <w:pPr>
        <w:pStyle w:val="241"/>
        <w:numPr>
          <w:ilvl w:val="2"/>
          <w:numId w:val="4"/>
        </w:numPr>
        <w:spacing w:before="156" w:after="156"/>
      </w:pPr>
      <w:r>
        <w:rPr>
          <w:rFonts w:hint="eastAsia"/>
        </w:rPr>
        <w:t>化肥使用情况</w:t>
      </w:r>
    </w:p>
    <w:p>
      <w:pPr>
        <w:pStyle w:val="230"/>
      </w:pPr>
      <w:r>
        <w:rPr>
          <w:rFonts w:hint="eastAsia"/>
        </w:rPr>
        <w:t>见表B.4。</w:t>
      </w:r>
    </w:p>
    <w:p>
      <w:pPr>
        <w:pStyle w:val="230"/>
      </w:pPr>
    </w:p>
    <w:p>
      <w:pPr>
        <w:pStyle w:val="77"/>
        <w:spacing w:before="156" w:after="156"/>
      </w:pPr>
      <w:r>
        <w:rPr>
          <w:rFonts w:hint="eastAsia"/>
        </w:rPr>
        <w:t>马铃薯生产化肥使用情况记载表</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100"/>
        <w:gridCol w:w="1334"/>
        <w:gridCol w:w="1218"/>
        <w:gridCol w:w="1218"/>
        <w:gridCol w:w="151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1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化肥名</w:t>
            </w:r>
          </w:p>
        </w:tc>
        <w:tc>
          <w:tcPr>
            <w:tcW w:w="121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供肥单位及票号</w:t>
            </w:r>
          </w:p>
        </w:tc>
        <w:tc>
          <w:tcPr>
            <w:tcW w:w="1100"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购肥数量</w:t>
            </w:r>
          </w:p>
        </w:tc>
        <w:tc>
          <w:tcPr>
            <w:tcW w:w="1334"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使用时间</w:t>
            </w:r>
          </w:p>
          <w:p>
            <w:pPr>
              <w:spacing w:line="240" w:lineRule="auto"/>
              <w:jc w:val="center"/>
              <w:rPr>
                <w:rFonts w:ascii="宋体" w:hAnsi="宋体"/>
                <w:sz w:val="18"/>
                <w:szCs w:val="18"/>
              </w:rPr>
            </w:pPr>
            <w:r>
              <w:rPr>
                <w:rFonts w:hint="eastAsia" w:ascii="宋体" w:hAnsi="宋体"/>
                <w:sz w:val="18"/>
                <w:szCs w:val="18"/>
              </w:rPr>
              <w:t>（年/月/日）</w:t>
            </w:r>
          </w:p>
        </w:tc>
        <w:tc>
          <w:tcPr>
            <w:tcW w:w="1218"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使用量</w:t>
            </w:r>
          </w:p>
          <w:p>
            <w:pPr>
              <w:spacing w:line="240" w:lineRule="auto"/>
              <w:jc w:val="center"/>
              <w:rPr>
                <w:rFonts w:ascii="宋体" w:hAnsi="宋体"/>
                <w:sz w:val="18"/>
                <w:szCs w:val="18"/>
              </w:rPr>
            </w:pPr>
            <w:r>
              <w:rPr>
                <w:rFonts w:hint="eastAsia" w:ascii="宋体" w:hAnsi="宋体"/>
                <w:sz w:val="18"/>
                <w:szCs w:val="18"/>
              </w:rPr>
              <w:t>kg</w:t>
            </w:r>
          </w:p>
        </w:tc>
        <w:tc>
          <w:tcPr>
            <w:tcW w:w="1218"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使用面积（667㎡）</w:t>
            </w:r>
          </w:p>
        </w:tc>
        <w:tc>
          <w:tcPr>
            <w:tcW w:w="1519"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用途</w:t>
            </w:r>
          </w:p>
          <w:p>
            <w:pPr>
              <w:spacing w:line="240" w:lineRule="auto"/>
              <w:jc w:val="center"/>
              <w:rPr>
                <w:rFonts w:ascii="宋体" w:hAnsi="宋体"/>
                <w:sz w:val="18"/>
                <w:szCs w:val="18"/>
              </w:rPr>
            </w:pPr>
            <w:r>
              <w:rPr>
                <w:rFonts w:hint="eastAsia" w:ascii="宋体" w:hAnsi="宋体"/>
                <w:sz w:val="18"/>
                <w:szCs w:val="18"/>
              </w:rPr>
              <w:t>（基肥或追肥）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17" w:type="dxa"/>
            <w:tcBorders>
              <w:top w:val="single" w:color="auto" w:sz="8" w:space="0"/>
            </w:tcBorders>
          </w:tcPr>
          <w:p>
            <w:pPr>
              <w:spacing w:line="240" w:lineRule="auto"/>
              <w:jc w:val="center"/>
              <w:rPr>
                <w:rFonts w:ascii="宋体" w:hAnsi="宋体"/>
                <w:sz w:val="18"/>
                <w:szCs w:val="18"/>
              </w:rPr>
            </w:pPr>
          </w:p>
        </w:tc>
        <w:tc>
          <w:tcPr>
            <w:tcW w:w="1217" w:type="dxa"/>
            <w:tcBorders>
              <w:top w:val="single" w:color="auto" w:sz="8" w:space="0"/>
            </w:tcBorders>
          </w:tcPr>
          <w:p>
            <w:pPr>
              <w:spacing w:line="240" w:lineRule="auto"/>
              <w:jc w:val="center"/>
              <w:rPr>
                <w:rFonts w:ascii="宋体" w:hAnsi="宋体"/>
                <w:sz w:val="18"/>
                <w:szCs w:val="18"/>
              </w:rPr>
            </w:pPr>
          </w:p>
        </w:tc>
        <w:tc>
          <w:tcPr>
            <w:tcW w:w="1100" w:type="dxa"/>
            <w:tcBorders>
              <w:top w:val="single" w:color="auto" w:sz="8" w:space="0"/>
            </w:tcBorders>
          </w:tcPr>
          <w:p>
            <w:pPr>
              <w:spacing w:line="240" w:lineRule="auto"/>
              <w:jc w:val="center"/>
              <w:rPr>
                <w:rFonts w:ascii="宋体" w:hAnsi="宋体"/>
                <w:sz w:val="18"/>
                <w:szCs w:val="18"/>
              </w:rPr>
            </w:pPr>
          </w:p>
        </w:tc>
        <w:tc>
          <w:tcPr>
            <w:tcW w:w="1334" w:type="dxa"/>
            <w:tcBorders>
              <w:top w:val="single" w:color="auto" w:sz="8" w:space="0"/>
            </w:tcBorders>
          </w:tcPr>
          <w:p>
            <w:pPr>
              <w:spacing w:line="240" w:lineRule="auto"/>
              <w:jc w:val="center"/>
              <w:rPr>
                <w:rFonts w:ascii="宋体" w:hAnsi="宋体"/>
                <w:sz w:val="18"/>
                <w:szCs w:val="18"/>
              </w:rPr>
            </w:pPr>
          </w:p>
        </w:tc>
        <w:tc>
          <w:tcPr>
            <w:tcW w:w="1218" w:type="dxa"/>
            <w:tcBorders>
              <w:top w:val="single" w:color="auto" w:sz="8" w:space="0"/>
            </w:tcBorders>
          </w:tcPr>
          <w:p>
            <w:pPr>
              <w:spacing w:line="240" w:lineRule="auto"/>
              <w:jc w:val="center"/>
              <w:rPr>
                <w:rFonts w:ascii="宋体" w:hAnsi="宋体"/>
                <w:sz w:val="18"/>
                <w:szCs w:val="18"/>
              </w:rPr>
            </w:pPr>
          </w:p>
        </w:tc>
        <w:tc>
          <w:tcPr>
            <w:tcW w:w="1218" w:type="dxa"/>
            <w:tcBorders>
              <w:top w:val="single" w:color="auto" w:sz="8" w:space="0"/>
            </w:tcBorders>
          </w:tcPr>
          <w:p>
            <w:pPr>
              <w:spacing w:line="240" w:lineRule="auto"/>
              <w:jc w:val="center"/>
              <w:rPr>
                <w:rFonts w:ascii="宋体" w:hAnsi="宋体"/>
                <w:sz w:val="18"/>
                <w:szCs w:val="18"/>
              </w:rPr>
            </w:pPr>
          </w:p>
        </w:tc>
        <w:tc>
          <w:tcPr>
            <w:tcW w:w="1519" w:type="dxa"/>
            <w:tcBorders>
              <w:top w:val="single" w:color="auto" w:sz="8" w:space="0"/>
            </w:tcBorders>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17" w:type="dxa"/>
          </w:tcPr>
          <w:p>
            <w:pPr>
              <w:spacing w:line="240" w:lineRule="auto"/>
              <w:jc w:val="center"/>
              <w:rPr>
                <w:rFonts w:ascii="宋体" w:hAnsi="宋体"/>
                <w:sz w:val="18"/>
                <w:szCs w:val="18"/>
              </w:rPr>
            </w:pPr>
          </w:p>
        </w:tc>
        <w:tc>
          <w:tcPr>
            <w:tcW w:w="1217" w:type="dxa"/>
          </w:tcPr>
          <w:p>
            <w:pPr>
              <w:spacing w:line="240" w:lineRule="auto"/>
              <w:jc w:val="center"/>
              <w:rPr>
                <w:rFonts w:ascii="宋体" w:hAnsi="宋体"/>
                <w:sz w:val="18"/>
                <w:szCs w:val="18"/>
              </w:rPr>
            </w:pPr>
          </w:p>
        </w:tc>
        <w:tc>
          <w:tcPr>
            <w:tcW w:w="1100" w:type="dxa"/>
          </w:tcPr>
          <w:p>
            <w:pPr>
              <w:spacing w:line="240" w:lineRule="auto"/>
              <w:jc w:val="center"/>
              <w:rPr>
                <w:rFonts w:ascii="宋体" w:hAnsi="宋体"/>
                <w:sz w:val="18"/>
                <w:szCs w:val="18"/>
              </w:rPr>
            </w:pPr>
          </w:p>
        </w:tc>
        <w:tc>
          <w:tcPr>
            <w:tcW w:w="1334" w:type="dxa"/>
          </w:tcPr>
          <w:p>
            <w:pPr>
              <w:spacing w:line="240" w:lineRule="auto"/>
              <w:jc w:val="center"/>
              <w:rPr>
                <w:rFonts w:ascii="宋体" w:hAnsi="宋体"/>
                <w:sz w:val="18"/>
                <w:szCs w:val="18"/>
              </w:rPr>
            </w:pPr>
          </w:p>
        </w:tc>
        <w:tc>
          <w:tcPr>
            <w:tcW w:w="1218" w:type="dxa"/>
          </w:tcPr>
          <w:p>
            <w:pPr>
              <w:spacing w:line="240" w:lineRule="auto"/>
              <w:jc w:val="center"/>
              <w:rPr>
                <w:rFonts w:ascii="宋体" w:hAnsi="宋体"/>
                <w:sz w:val="18"/>
                <w:szCs w:val="18"/>
              </w:rPr>
            </w:pPr>
          </w:p>
        </w:tc>
        <w:tc>
          <w:tcPr>
            <w:tcW w:w="1218" w:type="dxa"/>
          </w:tcPr>
          <w:p>
            <w:pPr>
              <w:spacing w:line="240" w:lineRule="auto"/>
              <w:jc w:val="center"/>
              <w:rPr>
                <w:rFonts w:ascii="宋体" w:hAnsi="宋体"/>
                <w:sz w:val="18"/>
                <w:szCs w:val="18"/>
              </w:rPr>
            </w:pPr>
          </w:p>
        </w:tc>
        <w:tc>
          <w:tcPr>
            <w:tcW w:w="1519" w:type="dxa"/>
          </w:tcPr>
          <w:p>
            <w:pPr>
              <w:spacing w:line="240" w:lineRule="auto"/>
              <w:jc w:val="center"/>
              <w:rPr>
                <w:rFonts w:ascii="宋体" w:hAnsi="宋体"/>
                <w:sz w:val="18"/>
                <w:szCs w:val="18"/>
              </w:rPr>
            </w:pPr>
          </w:p>
        </w:tc>
      </w:tr>
    </w:tbl>
    <w:p>
      <w:pPr>
        <w:pStyle w:val="56"/>
        <w:ind w:firstLine="420"/>
      </w:pPr>
    </w:p>
    <w:p>
      <w:pPr>
        <w:pStyle w:val="241"/>
        <w:numPr>
          <w:ilvl w:val="2"/>
          <w:numId w:val="4"/>
        </w:numPr>
        <w:spacing w:before="156" w:after="156"/>
      </w:pPr>
      <w:r>
        <w:rPr>
          <w:rFonts w:hint="eastAsia"/>
        </w:rPr>
        <w:t>生长调节剂使用情况</w:t>
      </w:r>
    </w:p>
    <w:p>
      <w:pPr>
        <w:pStyle w:val="230"/>
      </w:pPr>
      <w:r>
        <w:rPr>
          <w:rFonts w:hint="eastAsia"/>
        </w:rPr>
        <w:t>见表B.5。</w:t>
      </w:r>
    </w:p>
    <w:p>
      <w:pPr>
        <w:pStyle w:val="77"/>
        <w:spacing w:before="156" w:after="156"/>
      </w:pPr>
      <w:r>
        <w:rPr>
          <w:rFonts w:hint="eastAsia"/>
        </w:rPr>
        <w:t>马铃薯生产生长调节剂使用情况记载表</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100"/>
        <w:gridCol w:w="1334"/>
        <w:gridCol w:w="1218"/>
        <w:gridCol w:w="1477"/>
        <w:gridCol w:w="14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1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调节剂品名</w:t>
            </w:r>
          </w:p>
        </w:tc>
        <w:tc>
          <w:tcPr>
            <w:tcW w:w="121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供货单位及票号</w:t>
            </w:r>
          </w:p>
        </w:tc>
        <w:tc>
          <w:tcPr>
            <w:tcW w:w="1100"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购货数量</w:t>
            </w:r>
          </w:p>
        </w:tc>
        <w:tc>
          <w:tcPr>
            <w:tcW w:w="1334"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使用时间</w:t>
            </w:r>
          </w:p>
          <w:p>
            <w:pPr>
              <w:spacing w:line="240" w:lineRule="auto"/>
              <w:jc w:val="center"/>
              <w:rPr>
                <w:rFonts w:ascii="宋体" w:hAnsi="宋体"/>
                <w:sz w:val="18"/>
                <w:szCs w:val="18"/>
              </w:rPr>
            </w:pPr>
            <w:r>
              <w:rPr>
                <w:rFonts w:hint="eastAsia" w:ascii="宋体" w:hAnsi="宋体"/>
                <w:sz w:val="18"/>
                <w:szCs w:val="18"/>
              </w:rPr>
              <w:t>（年/月/日）</w:t>
            </w:r>
          </w:p>
        </w:tc>
        <w:tc>
          <w:tcPr>
            <w:tcW w:w="1218"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使用量</w:t>
            </w:r>
          </w:p>
          <w:p>
            <w:pPr>
              <w:spacing w:line="240" w:lineRule="auto"/>
              <w:jc w:val="center"/>
              <w:rPr>
                <w:rFonts w:ascii="宋体" w:hAnsi="宋体"/>
                <w:sz w:val="18"/>
                <w:szCs w:val="18"/>
              </w:rPr>
            </w:pPr>
            <w:r>
              <w:rPr>
                <w:rFonts w:hint="eastAsia" w:ascii="宋体" w:hAnsi="宋体"/>
                <w:sz w:val="18"/>
                <w:szCs w:val="18"/>
              </w:rPr>
              <w:t>（g/mL）</w:t>
            </w:r>
          </w:p>
        </w:tc>
        <w:tc>
          <w:tcPr>
            <w:tcW w:w="147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使用面积</w:t>
            </w:r>
          </w:p>
          <w:p>
            <w:pPr>
              <w:spacing w:line="240" w:lineRule="auto"/>
              <w:jc w:val="center"/>
              <w:rPr>
                <w:rFonts w:ascii="宋体" w:hAnsi="宋体"/>
                <w:sz w:val="18"/>
                <w:szCs w:val="18"/>
              </w:rPr>
            </w:pPr>
            <w:r>
              <w:rPr>
                <w:rFonts w:hint="eastAsia" w:ascii="宋体" w:hAnsi="宋体"/>
                <w:sz w:val="18"/>
                <w:szCs w:val="18"/>
              </w:rPr>
              <w:t>（667㎡）</w:t>
            </w:r>
          </w:p>
        </w:tc>
        <w:tc>
          <w:tcPr>
            <w:tcW w:w="1470"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用途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17" w:type="dxa"/>
            <w:tcBorders>
              <w:top w:val="single" w:color="auto" w:sz="8" w:space="0"/>
            </w:tcBorders>
          </w:tcPr>
          <w:p>
            <w:pPr>
              <w:spacing w:line="240" w:lineRule="auto"/>
              <w:jc w:val="center"/>
              <w:rPr>
                <w:rFonts w:ascii="宋体" w:hAnsi="宋体"/>
                <w:sz w:val="18"/>
                <w:szCs w:val="18"/>
              </w:rPr>
            </w:pPr>
          </w:p>
        </w:tc>
        <w:tc>
          <w:tcPr>
            <w:tcW w:w="1217" w:type="dxa"/>
            <w:tcBorders>
              <w:top w:val="single" w:color="auto" w:sz="8" w:space="0"/>
            </w:tcBorders>
          </w:tcPr>
          <w:p>
            <w:pPr>
              <w:spacing w:line="240" w:lineRule="auto"/>
              <w:jc w:val="center"/>
              <w:rPr>
                <w:rFonts w:ascii="宋体" w:hAnsi="宋体"/>
                <w:sz w:val="18"/>
                <w:szCs w:val="18"/>
              </w:rPr>
            </w:pPr>
          </w:p>
        </w:tc>
        <w:tc>
          <w:tcPr>
            <w:tcW w:w="1100" w:type="dxa"/>
            <w:tcBorders>
              <w:top w:val="single" w:color="auto" w:sz="8" w:space="0"/>
            </w:tcBorders>
          </w:tcPr>
          <w:p>
            <w:pPr>
              <w:spacing w:line="240" w:lineRule="auto"/>
              <w:jc w:val="center"/>
              <w:rPr>
                <w:rFonts w:ascii="宋体" w:hAnsi="宋体"/>
                <w:sz w:val="18"/>
                <w:szCs w:val="18"/>
              </w:rPr>
            </w:pPr>
          </w:p>
        </w:tc>
        <w:tc>
          <w:tcPr>
            <w:tcW w:w="1334" w:type="dxa"/>
            <w:tcBorders>
              <w:top w:val="single" w:color="auto" w:sz="8" w:space="0"/>
            </w:tcBorders>
          </w:tcPr>
          <w:p>
            <w:pPr>
              <w:spacing w:line="240" w:lineRule="auto"/>
              <w:jc w:val="center"/>
              <w:rPr>
                <w:rFonts w:ascii="宋体" w:hAnsi="宋体"/>
                <w:sz w:val="18"/>
                <w:szCs w:val="18"/>
              </w:rPr>
            </w:pPr>
          </w:p>
        </w:tc>
        <w:tc>
          <w:tcPr>
            <w:tcW w:w="1218" w:type="dxa"/>
            <w:tcBorders>
              <w:top w:val="single" w:color="auto" w:sz="8" w:space="0"/>
            </w:tcBorders>
          </w:tcPr>
          <w:p>
            <w:pPr>
              <w:spacing w:line="240" w:lineRule="auto"/>
              <w:jc w:val="center"/>
              <w:rPr>
                <w:rFonts w:ascii="宋体" w:hAnsi="宋体"/>
                <w:sz w:val="18"/>
                <w:szCs w:val="18"/>
              </w:rPr>
            </w:pPr>
          </w:p>
        </w:tc>
        <w:tc>
          <w:tcPr>
            <w:tcW w:w="1477" w:type="dxa"/>
            <w:tcBorders>
              <w:top w:val="single" w:color="auto" w:sz="8" w:space="0"/>
            </w:tcBorders>
          </w:tcPr>
          <w:p>
            <w:pPr>
              <w:spacing w:line="240" w:lineRule="auto"/>
              <w:jc w:val="center"/>
              <w:rPr>
                <w:rFonts w:ascii="宋体" w:hAnsi="宋体"/>
                <w:sz w:val="18"/>
                <w:szCs w:val="18"/>
              </w:rPr>
            </w:pPr>
          </w:p>
        </w:tc>
        <w:tc>
          <w:tcPr>
            <w:tcW w:w="1470" w:type="dxa"/>
            <w:tcBorders>
              <w:top w:val="single" w:color="auto" w:sz="8" w:space="0"/>
            </w:tcBorders>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17" w:type="dxa"/>
          </w:tcPr>
          <w:p>
            <w:pPr>
              <w:spacing w:line="240" w:lineRule="auto"/>
              <w:jc w:val="center"/>
              <w:rPr>
                <w:rFonts w:ascii="宋体" w:hAnsi="宋体"/>
                <w:sz w:val="18"/>
                <w:szCs w:val="18"/>
              </w:rPr>
            </w:pPr>
          </w:p>
        </w:tc>
        <w:tc>
          <w:tcPr>
            <w:tcW w:w="1217" w:type="dxa"/>
          </w:tcPr>
          <w:p>
            <w:pPr>
              <w:spacing w:line="240" w:lineRule="auto"/>
              <w:jc w:val="center"/>
              <w:rPr>
                <w:rFonts w:ascii="宋体" w:hAnsi="宋体"/>
                <w:sz w:val="18"/>
                <w:szCs w:val="18"/>
              </w:rPr>
            </w:pPr>
          </w:p>
        </w:tc>
        <w:tc>
          <w:tcPr>
            <w:tcW w:w="1100" w:type="dxa"/>
          </w:tcPr>
          <w:p>
            <w:pPr>
              <w:spacing w:line="240" w:lineRule="auto"/>
              <w:jc w:val="center"/>
              <w:rPr>
                <w:rFonts w:ascii="宋体" w:hAnsi="宋体"/>
                <w:sz w:val="18"/>
                <w:szCs w:val="18"/>
              </w:rPr>
            </w:pPr>
          </w:p>
        </w:tc>
        <w:tc>
          <w:tcPr>
            <w:tcW w:w="1334" w:type="dxa"/>
          </w:tcPr>
          <w:p>
            <w:pPr>
              <w:spacing w:line="240" w:lineRule="auto"/>
              <w:jc w:val="center"/>
              <w:rPr>
                <w:rFonts w:ascii="宋体" w:hAnsi="宋体"/>
                <w:sz w:val="18"/>
                <w:szCs w:val="18"/>
              </w:rPr>
            </w:pPr>
          </w:p>
        </w:tc>
        <w:tc>
          <w:tcPr>
            <w:tcW w:w="1218" w:type="dxa"/>
          </w:tcPr>
          <w:p>
            <w:pPr>
              <w:spacing w:line="240" w:lineRule="auto"/>
              <w:jc w:val="center"/>
              <w:rPr>
                <w:rFonts w:ascii="宋体" w:hAnsi="宋体"/>
                <w:sz w:val="18"/>
                <w:szCs w:val="18"/>
              </w:rPr>
            </w:pPr>
          </w:p>
        </w:tc>
        <w:tc>
          <w:tcPr>
            <w:tcW w:w="1477" w:type="dxa"/>
          </w:tcPr>
          <w:p>
            <w:pPr>
              <w:spacing w:line="240" w:lineRule="auto"/>
              <w:jc w:val="center"/>
              <w:rPr>
                <w:rFonts w:ascii="宋体" w:hAnsi="宋体"/>
                <w:sz w:val="18"/>
                <w:szCs w:val="18"/>
              </w:rPr>
            </w:pPr>
          </w:p>
        </w:tc>
        <w:tc>
          <w:tcPr>
            <w:tcW w:w="1470" w:type="dxa"/>
          </w:tcPr>
          <w:p>
            <w:pPr>
              <w:spacing w:line="240" w:lineRule="auto"/>
              <w:jc w:val="center"/>
              <w:rPr>
                <w:rFonts w:ascii="宋体" w:hAnsi="宋体"/>
                <w:sz w:val="18"/>
                <w:szCs w:val="18"/>
              </w:rPr>
            </w:pPr>
          </w:p>
        </w:tc>
      </w:tr>
    </w:tbl>
    <w:p>
      <w:pPr>
        <w:pStyle w:val="56"/>
        <w:ind w:firstLine="420"/>
      </w:pPr>
    </w:p>
    <w:p>
      <w:pPr>
        <w:pStyle w:val="241"/>
        <w:numPr>
          <w:ilvl w:val="2"/>
          <w:numId w:val="4"/>
        </w:numPr>
        <w:spacing w:before="156" w:after="156"/>
      </w:pPr>
      <w:r>
        <w:rPr>
          <w:rFonts w:hint="eastAsia"/>
        </w:rPr>
        <w:t>农事活动情况</w:t>
      </w:r>
    </w:p>
    <w:p>
      <w:pPr>
        <w:pStyle w:val="230"/>
      </w:pPr>
      <w:r>
        <w:rPr>
          <w:rFonts w:hint="eastAsia"/>
        </w:rPr>
        <w:t>见表B.6。</w:t>
      </w:r>
    </w:p>
    <w:p>
      <w:pPr>
        <w:pStyle w:val="77"/>
        <w:spacing w:before="156" w:after="156"/>
      </w:pPr>
      <w:r>
        <w:rPr>
          <w:rFonts w:hint="eastAsia"/>
        </w:rPr>
        <w:t>马铃薯生产农事活动情况记载表</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1310"/>
        <w:gridCol w:w="1217"/>
        <w:gridCol w:w="1217"/>
        <w:gridCol w:w="1359"/>
        <w:gridCol w:w="1418"/>
        <w:gridCol w:w="141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124"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种植品种</w:t>
            </w:r>
          </w:p>
        </w:tc>
        <w:tc>
          <w:tcPr>
            <w:tcW w:w="1310"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播种时</w:t>
            </w:r>
          </w:p>
          <w:p>
            <w:pPr>
              <w:spacing w:line="240" w:lineRule="auto"/>
              <w:jc w:val="center"/>
              <w:rPr>
                <w:rFonts w:ascii="宋体" w:hAnsi="宋体"/>
                <w:sz w:val="18"/>
                <w:szCs w:val="18"/>
              </w:rPr>
            </w:pPr>
            <w:r>
              <w:rPr>
                <w:rFonts w:hint="eastAsia" w:ascii="宋体" w:hAnsi="宋体"/>
                <w:sz w:val="18"/>
                <w:szCs w:val="18"/>
              </w:rPr>
              <w:t>（年/月/日）</w:t>
            </w:r>
          </w:p>
        </w:tc>
        <w:tc>
          <w:tcPr>
            <w:tcW w:w="121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出苗期</w:t>
            </w:r>
          </w:p>
          <w:p>
            <w:pPr>
              <w:spacing w:line="240" w:lineRule="auto"/>
              <w:rPr>
                <w:rFonts w:ascii="宋体" w:hAnsi="宋体"/>
                <w:sz w:val="18"/>
                <w:szCs w:val="18"/>
              </w:rPr>
            </w:pPr>
            <w:r>
              <w:rPr>
                <w:rFonts w:hint="eastAsia" w:ascii="宋体" w:hAnsi="宋体"/>
                <w:sz w:val="18"/>
                <w:szCs w:val="18"/>
              </w:rPr>
              <w:t>（年/月/日）</w:t>
            </w:r>
          </w:p>
        </w:tc>
        <w:tc>
          <w:tcPr>
            <w:tcW w:w="121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现蕾期</w:t>
            </w:r>
          </w:p>
          <w:p>
            <w:pPr>
              <w:spacing w:line="240" w:lineRule="auto"/>
              <w:rPr>
                <w:rFonts w:ascii="宋体" w:hAnsi="宋体"/>
                <w:sz w:val="18"/>
                <w:szCs w:val="18"/>
              </w:rPr>
            </w:pPr>
            <w:r>
              <w:rPr>
                <w:rFonts w:hint="eastAsia" w:ascii="宋体" w:hAnsi="宋体"/>
                <w:sz w:val="18"/>
                <w:szCs w:val="18"/>
              </w:rPr>
              <w:t>（年/月/日）</w:t>
            </w:r>
          </w:p>
        </w:tc>
        <w:tc>
          <w:tcPr>
            <w:tcW w:w="1359"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收获期</w:t>
            </w:r>
          </w:p>
          <w:p>
            <w:pPr>
              <w:spacing w:line="240" w:lineRule="auto"/>
              <w:jc w:val="center"/>
              <w:rPr>
                <w:rFonts w:ascii="宋体" w:hAnsi="宋体"/>
                <w:sz w:val="18"/>
                <w:szCs w:val="18"/>
              </w:rPr>
            </w:pPr>
            <w:r>
              <w:rPr>
                <w:rFonts w:hint="eastAsia" w:ascii="宋体" w:hAnsi="宋体"/>
                <w:sz w:val="18"/>
                <w:szCs w:val="18"/>
              </w:rPr>
              <w:t>（年/月/日）</w:t>
            </w:r>
          </w:p>
        </w:tc>
        <w:tc>
          <w:tcPr>
            <w:tcW w:w="1418"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灾害种类</w:t>
            </w:r>
          </w:p>
        </w:tc>
        <w:tc>
          <w:tcPr>
            <w:tcW w:w="141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灾害发生期（年/月/日）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124" w:type="dxa"/>
            <w:tcBorders>
              <w:top w:val="single" w:color="auto" w:sz="8" w:space="0"/>
            </w:tcBorders>
          </w:tcPr>
          <w:p>
            <w:pPr>
              <w:spacing w:line="240" w:lineRule="auto"/>
              <w:jc w:val="center"/>
              <w:rPr>
                <w:rFonts w:ascii="宋体" w:hAnsi="宋体"/>
                <w:sz w:val="18"/>
                <w:szCs w:val="18"/>
              </w:rPr>
            </w:pPr>
          </w:p>
        </w:tc>
        <w:tc>
          <w:tcPr>
            <w:tcW w:w="1310" w:type="dxa"/>
            <w:tcBorders>
              <w:top w:val="single" w:color="auto" w:sz="8" w:space="0"/>
            </w:tcBorders>
          </w:tcPr>
          <w:p>
            <w:pPr>
              <w:spacing w:line="240" w:lineRule="auto"/>
              <w:jc w:val="center"/>
              <w:rPr>
                <w:rFonts w:ascii="宋体" w:hAnsi="宋体"/>
                <w:sz w:val="18"/>
                <w:szCs w:val="18"/>
              </w:rPr>
            </w:pPr>
          </w:p>
        </w:tc>
        <w:tc>
          <w:tcPr>
            <w:tcW w:w="1217" w:type="dxa"/>
            <w:tcBorders>
              <w:top w:val="single" w:color="auto" w:sz="8" w:space="0"/>
            </w:tcBorders>
          </w:tcPr>
          <w:p>
            <w:pPr>
              <w:spacing w:line="240" w:lineRule="auto"/>
              <w:jc w:val="center"/>
              <w:rPr>
                <w:rFonts w:ascii="宋体" w:hAnsi="宋体"/>
                <w:sz w:val="18"/>
                <w:szCs w:val="18"/>
              </w:rPr>
            </w:pPr>
          </w:p>
        </w:tc>
        <w:tc>
          <w:tcPr>
            <w:tcW w:w="1217" w:type="dxa"/>
            <w:tcBorders>
              <w:top w:val="single" w:color="auto" w:sz="8" w:space="0"/>
            </w:tcBorders>
          </w:tcPr>
          <w:p>
            <w:pPr>
              <w:spacing w:line="240" w:lineRule="auto"/>
              <w:jc w:val="center"/>
              <w:rPr>
                <w:rFonts w:ascii="宋体" w:hAnsi="宋体"/>
                <w:sz w:val="18"/>
                <w:szCs w:val="18"/>
              </w:rPr>
            </w:pPr>
          </w:p>
        </w:tc>
        <w:tc>
          <w:tcPr>
            <w:tcW w:w="1359" w:type="dxa"/>
            <w:tcBorders>
              <w:top w:val="single" w:color="auto" w:sz="8" w:space="0"/>
            </w:tcBorders>
          </w:tcPr>
          <w:p>
            <w:pPr>
              <w:spacing w:line="240" w:lineRule="auto"/>
              <w:jc w:val="center"/>
              <w:rPr>
                <w:rFonts w:ascii="宋体" w:hAnsi="宋体"/>
                <w:sz w:val="18"/>
                <w:szCs w:val="18"/>
              </w:rPr>
            </w:pPr>
          </w:p>
        </w:tc>
        <w:tc>
          <w:tcPr>
            <w:tcW w:w="1418" w:type="dxa"/>
            <w:tcBorders>
              <w:top w:val="single" w:color="auto" w:sz="8" w:space="0"/>
            </w:tcBorders>
          </w:tcPr>
          <w:p>
            <w:pPr>
              <w:spacing w:line="240" w:lineRule="auto"/>
              <w:jc w:val="center"/>
              <w:rPr>
                <w:rFonts w:ascii="宋体" w:hAnsi="宋体"/>
                <w:sz w:val="18"/>
                <w:szCs w:val="18"/>
              </w:rPr>
            </w:pPr>
          </w:p>
        </w:tc>
        <w:tc>
          <w:tcPr>
            <w:tcW w:w="1417" w:type="dxa"/>
            <w:tcBorders>
              <w:top w:val="single" w:color="auto" w:sz="8" w:space="0"/>
            </w:tcBorders>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124" w:type="dxa"/>
          </w:tcPr>
          <w:p>
            <w:pPr>
              <w:spacing w:line="240" w:lineRule="auto"/>
              <w:jc w:val="center"/>
              <w:rPr>
                <w:rFonts w:ascii="宋体" w:hAnsi="宋体"/>
                <w:sz w:val="18"/>
                <w:szCs w:val="18"/>
              </w:rPr>
            </w:pPr>
          </w:p>
        </w:tc>
        <w:tc>
          <w:tcPr>
            <w:tcW w:w="1310" w:type="dxa"/>
          </w:tcPr>
          <w:p>
            <w:pPr>
              <w:spacing w:line="240" w:lineRule="auto"/>
              <w:jc w:val="center"/>
              <w:rPr>
                <w:rFonts w:ascii="宋体" w:hAnsi="宋体"/>
                <w:sz w:val="18"/>
                <w:szCs w:val="18"/>
              </w:rPr>
            </w:pPr>
          </w:p>
        </w:tc>
        <w:tc>
          <w:tcPr>
            <w:tcW w:w="1217" w:type="dxa"/>
          </w:tcPr>
          <w:p>
            <w:pPr>
              <w:spacing w:line="240" w:lineRule="auto"/>
              <w:jc w:val="center"/>
              <w:rPr>
                <w:rFonts w:ascii="宋体" w:hAnsi="宋体"/>
                <w:sz w:val="18"/>
                <w:szCs w:val="18"/>
              </w:rPr>
            </w:pPr>
          </w:p>
        </w:tc>
        <w:tc>
          <w:tcPr>
            <w:tcW w:w="1217" w:type="dxa"/>
          </w:tcPr>
          <w:p>
            <w:pPr>
              <w:spacing w:line="240" w:lineRule="auto"/>
              <w:jc w:val="center"/>
              <w:rPr>
                <w:rFonts w:ascii="宋体" w:hAnsi="宋体"/>
                <w:sz w:val="18"/>
                <w:szCs w:val="18"/>
              </w:rPr>
            </w:pPr>
          </w:p>
        </w:tc>
        <w:tc>
          <w:tcPr>
            <w:tcW w:w="1359" w:type="dxa"/>
          </w:tcPr>
          <w:p>
            <w:pPr>
              <w:spacing w:line="240" w:lineRule="auto"/>
              <w:jc w:val="center"/>
              <w:rPr>
                <w:rFonts w:ascii="宋体" w:hAnsi="宋体"/>
                <w:sz w:val="18"/>
                <w:szCs w:val="18"/>
              </w:rPr>
            </w:pPr>
          </w:p>
        </w:tc>
        <w:tc>
          <w:tcPr>
            <w:tcW w:w="1418" w:type="dxa"/>
          </w:tcPr>
          <w:p>
            <w:pPr>
              <w:spacing w:line="240" w:lineRule="auto"/>
              <w:jc w:val="center"/>
              <w:rPr>
                <w:rFonts w:ascii="宋体" w:hAnsi="宋体"/>
                <w:sz w:val="18"/>
                <w:szCs w:val="18"/>
              </w:rPr>
            </w:pPr>
          </w:p>
        </w:tc>
        <w:tc>
          <w:tcPr>
            <w:tcW w:w="1417" w:type="dxa"/>
          </w:tcPr>
          <w:p>
            <w:pPr>
              <w:spacing w:line="240" w:lineRule="auto"/>
              <w:jc w:val="center"/>
              <w:rPr>
                <w:rFonts w:ascii="宋体" w:hAnsi="宋体"/>
                <w:sz w:val="18"/>
                <w:szCs w:val="18"/>
              </w:rPr>
            </w:pPr>
          </w:p>
        </w:tc>
      </w:tr>
    </w:tbl>
    <w:p>
      <w:pPr>
        <w:pStyle w:val="56"/>
        <w:ind w:firstLine="420"/>
      </w:pPr>
    </w:p>
    <w:p>
      <w:pPr>
        <w:pStyle w:val="241"/>
        <w:numPr>
          <w:ilvl w:val="2"/>
          <w:numId w:val="4"/>
        </w:numPr>
        <w:spacing w:before="156" w:after="156"/>
      </w:pPr>
      <w:r>
        <w:rPr>
          <w:rFonts w:hint="eastAsia"/>
        </w:rPr>
        <w:t>产品销售情况</w:t>
      </w:r>
    </w:p>
    <w:p>
      <w:pPr>
        <w:pStyle w:val="230"/>
      </w:pPr>
      <w:r>
        <w:rPr>
          <w:rFonts w:hint="eastAsia"/>
        </w:rPr>
        <w:t>见表B.7。</w:t>
      </w:r>
    </w:p>
    <w:p>
      <w:pPr>
        <w:pStyle w:val="77"/>
        <w:spacing w:before="156" w:after="156"/>
      </w:pPr>
      <w:r>
        <w:rPr>
          <w:rFonts w:hint="eastAsia"/>
        </w:rPr>
        <w:t>马铃薯产品销售情况记载表</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892"/>
        <w:gridCol w:w="1417"/>
        <w:gridCol w:w="851"/>
        <w:gridCol w:w="1134"/>
        <w:gridCol w:w="1134"/>
        <w:gridCol w:w="141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1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品种</w:t>
            </w:r>
          </w:p>
        </w:tc>
        <w:tc>
          <w:tcPr>
            <w:tcW w:w="1892"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销售日期</w:t>
            </w:r>
          </w:p>
          <w:p>
            <w:pPr>
              <w:spacing w:line="240" w:lineRule="auto"/>
              <w:jc w:val="center"/>
              <w:rPr>
                <w:rFonts w:ascii="宋体" w:hAnsi="宋体"/>
                <w:sz w:val="18"/>
                <w:szCs w:val="18"/>
              </w:rPr>
            </w:pPr>
            <w:r>
              <w:rPr>
                <w:rFonts w:hint="eastAsia" w:ascii="宋体" w:hAnsi="宋体"/>
                <w:sz w:val="18"/>
                <w:szCs w:val="18"/>
              </w:rPr>
              <w:t>（年/月/日）</w:t>
            </w:r>
          </w:p>
        </w:tc>
        <w:tc>
          <w:tcPr>
            <w:tcW w:w="141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销售数量（kg）</w:t>
            </w:r>
          </w:p>
        </w:tc>
        <w:tc>
          <w:tcPr>
            <w:tcW w:w="851"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等级</w:t>
            </w:r>
          </w:p>
        </w:tc>
        <w:tc>
          <w:tcPr>
            <w:tcW w:w="1134"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价格</w:t>
            </w:r>
          </w:p>
          <w:p>
            <w:pPr>
              <w:spacing w:line="240" w:lineRule="auto"/>
              <w:jc w:val="center"/>
              <w:rPr>
                <w:rFonts w:ascii="宋体" w:hAnsi="宋体"/>
                <w:sz w:val="18"/>
                <w:szCs w:val="18"/>
              </w:rPr>
            </w:pPr>
            <w:r>
              <w:rPr>
                <w:rFonts w:hint="eastAsia" w:ascii="宋体" w:hAnsi="宋体"/>
                <w:sz w:val="18"/>
                <w:szCs w:val="18"/>
              </w:rPr>
              <w:t>（元/kg）</w:t>
            </w:r>
          </w:p>
        </w:tc>
        <w:tc>
          <w:tcPr>
            <w:tcW w:w="1134"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销售额</w:t>
            </w:r>
          </w:p>
          <w:p>
            <w:pPr>
              <w:spacing w:line="240" w:lineRule="auto"/>
              <w:jc w:val="center"/>
              <w:rPr>
                <w:rFonts w:ascii="宋体" w:hAnsi="宋体"/>
                <w:sz w:val="18"/>
                <w:szCs w:val="18"/>
              </w:rPr>
            </w:pPr>
            <w:r>
              <w:rPr>
                <w:rFonts w:hint="eastAsia" w:ascii="宋体" w:hAnsi="宋体"/>
                <w:sz w:val="18"/>
                <w:szCs w:val="18"/>
              </w:rPr>
              <w:t>（元）</w:t>
            </w:r>
          </w:p>
        </w:tc>
        <w:tc>
          <w:tcPr>
            <w:tcW w:w="141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销售单位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17" w:type="dxa"/>
            <w:tcBorders>
              <w:top w:val="single" w:color="auto" w:sz="8" w:space="0"/>
            </w:tcBorders>
          </w:tcPr>
          <w:p>
            <w:pPr>
              <w:spacing w:line="240" w:lineRule="auto"/>
              <w:jc w:val="center"/>
              <w:rPr>
                <w:rFonts w:ascii="宋体" w:hAnsi="宋体"/>
                <w:sz w:val="18"/>
                <w:szCs w:val="18"/>
              </w:rPr>
            </w:pPr>
          </w:p>
        </w:tc>
        <w:tc>
          <w:tcPr>
            <w:tcW w:w="1892" w:type="dxa"/>
            <w:tcBorders>
              <w:top w:val="single" w:color="auto" w:sz="8" w:space="0"/>
            </w:tcBorders>
          </w:tcPr>
          <w:p>
            <w:pPr>
              <w:spacing w:line="240" w:lineRule="auto"/>
              <w:jc w:val="center"/>
              <w:rPr>
                <w:rFonts w:ascii="宋体" w:hAnsi="宋体"/>
                <w:sz w:val="18"/>
                <w:szCs w:val="18"/>
              </w:rPr>
            </w:pPr>
          </w:p>
        </w:tc>
        <w:tc>
          <w:tcPr>
            <w:tcW w:w="1417" w:type="dxa"/>
            <w:tcBorders>
              <w:top w:val="single" w:color="auto" w:sz="8" w:space="0"/>
            </w:tcBorders>
          </w:tcPr>
          <w:p>
            <w:pPr>
              <w:spacing w:line="240" w:lineRule="auto"/>
              <w:jc w:val="center"/>
              <w:rPr>
                <w:rFonts w:ascii="宋体" w:hAnsi="宋体"/>
                <w:sz w:val="18"/>
                <w:szCs w:val="18"/>
              </w:rPr>
            </w:pPr>
          </w:p>
        </w:tc>
        <w:tc>
          <w:tcPr>
            <w:tcW w:w="851" w:type="dxa"/>
            <w:tcBorders>
              <w:top w:val="single" w:color="auto" w:sz="8" w:space="0"/>
            </w:tcBorders>
          </w:tcPr>
          <w:p>
            <w:pPr>
              <w:spacing w:line="240" w:lineRule="auto"/>
              <w:jc w:val="center"/>
              <w:rPr>
                <w:rFonts w:ascii="宋体" w:hAnsi="宋体"/>
                <w:sz w:val="18"/>
                <w:szCs w:val="18"/>
              </w:rPr>
            </w:pPr>
          </w:p>
        </w:tc>
        <w:tc>
          <w:tcPr>
            <w:tcW w:w="1134" w:type="dxa"/>
            <w:tcBorders>
              <w:top w:val="single" w:color="auto" w:sz="8" w:space="0"/>
            </w:tcBorders>
          </w:tcPr>
          <w:p>
            <w:pPr>
              <w:spacing w:line="240" w:lineRule="auto"/>
              <w:jc w:val="center"/>
              <w:rPr>
                <w:rFonts w:ascii="宋体" w:hAnsi="宋体"/>
                <w:sz w:val="18"/>
                <w:szCs w:val="18"/>
              </w:rPr>
            </w:pPr>
          </w:p>
        </w:tc>
        <w:tc>
          <w:tcPr>
            <w:tcW w:w="1134" w:type="dxa"/>
            <w:tcBorders>
              <w:top w:val="single" w:color="auto" w:sz="8" w:space="0"/>
            </w:tcBorders>
          </w:tcPr>
          <w:p>
            <w:pPr>
              <w:spacing w:line="240" w:lineRule="auto"/>
              <w:jc w:val="center"/>
              <w:rPr>
                <w:rFonts w:ascii="宋体" w:hAnsi="宋体"/>
                <w:sz w:val="18"/>
                <w:szCs w:val="18"/>
              </w:rPr>
            </w:pPr>
          </w:p>
        </w:tc>
        <w:tc>
          <w:tcPr>
            <w:tcW w:w="1417" w:type="dxa"/>
            <w:tcBorders>
              <w:top w:val="single" w:color="auto" w:sz="8" w:space="0"/>
            </w:tcBorders>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17" w:type="dxa"/>
          </w:tcPr>
          <w:p>
            <w:pPr>
              <w:spacing w:line="240" w:lineRule="auto"/>
              <w:jc w:val="center"/>
              <w:rPr>
                <w:rFonts w:ascii="宋体" w:hAnsi="宋体"/>
                <w:sz w:val="18"/>
                <w:szCs w:val="18"/>
              </w:rPr>
            </w:pPr>
          </w:p>
        </w:tc>
        <w:tc>
          <w:tcPr>
            <w:tcW w:w="1892" w:type="dxa"/>
          </w:tcPr>
          <w:p>
            <w:pPr>
              <w:spacing w:line="240" w:lineRule="auto"/>
              <w:jc w:val="center"/>
              <w:rPr>
                <w:rFonts w:ascii="宋体" w:hAnsi="宋体"/>
                <w:sz w:val="18"/>
                <w:szCs w:val="18"/>
              </w:rPr>
            </w:pPr>
          </w:p>
        </w:tc>
        <w:tc>
          <w:tcPr>
            <w:tcW w:w="1417" w:type="dxa"/>
          </w:tcPr>
          <w:p>
            <w:pPr>
              <w:spacing w:line="240" w:lineRule="auto"/>
              <w:jc w:val="center"/>
              <w:rPr>
                <w:rFonts w:ascii="宋体" w:hAnsi="宋体"/>
                <w:sz w:val="18"/>
                <w:szCs w:val="18"/>
              </w:rPr>
            </w:pPr>
          </w:p>
        </w:tc>
        <w:tc>
          <w:tcPr>
            <w:tcW w:w="851" w:type="dxa"/>
          </w:tcPr>
          <w:p>
            <w:pPr>
              <w:spacing w:line="240" w:lineRule="auto"/>
              <w:jc w:val="center"/>
              <w:rPr>
                <w:rFonts w:ascii="宋体" w:hAnsi="宋体"/>
                <w:sz w:val="18"/>
                <w:szCs w:val="18"/>
              </w:rPr>
            </w:pPr>
          </w:p>
        </w:tc>
        <w:tc>
          <w:tcPr>
            <w:tcW w:w="1134" w:type="dxa"/>
          </w:tcPr>
          <w:p>
            <w:pPr>
              <w:spacing w:line="240" w:lineRule="auto"/>
              <w:jc w:val="center"/>
              <w:rPr>
                <w:rFonts w:ascii="宋体" w:hAnsi="宋体"/>
                <w:sz w:val="18"/>
                <w:szCs w:val="18"/>
              </w:rPr>
            </w:pPr>
          </w:p>
        </w:tc>
        <w:tc>
          <w:tcPr>
            <w:tcW w:w="1134" w:type="dxa"/>
          </w:tcPr>
          <w:p>
            <w:pPr>
              <w:spacing w:line="240" w:lineRule="auto"/>
              <w:jc w:val="center"/>
              <w:rPr>
                <w:rFonts w:ascii="宋体" w:hAnsi="宋体"/>
                <w:sz w:val="18"/>
                <w:szCs w:val="18"/>
              </w:rPr>
            </w:pPr>
          </w:p>
        </w:tc>
        <w:tc>
          <w:tcPr>
            <w:tcW w:w="1417" w:type="dxa"/>
          </w:tcPr>
          <w:p>
            <w:pPr>
              <w:spacing w:line="240" w:lineRule="auto"/>
              <w:jc w:val="center"/>
              <w:rPr>
                <w:rFonts w:ascii="宋体" w:hAnsi="宋体"/>
                <w:sz w:val="18"/>
                <w:szCs w:val="18"/>
              </w:rPr>
            </w:pPr>
          </w:p>
        </w:tc>
      </w:tr>
    </w:tbl>
    <w:p>
      <w:pPr>
        <w:pStyle w:val="56"/>
        <w:ind w:firstLine="199" w:firstLineChars="95"/>
      </w:pPr>
    </w:p>
    <w:p>
      <w:pPr>
        <w:pStyle w:val="56"/>
        <w:ind w:firstLine="199" w:firstLineChars="95"/>
        <w:rPr>
          <w:rFonts w:hint="eastAsia"/>
        </w:rPr>
      </w:pPr>
    </w:p>
    <w:bookmarkEnd w:id="44"/>
    <w:p>
      <w:pPr>
        <w:pStyle w:val="56"/>
        <w:ind w:firstLine="0" w:firstLineChars="0"/>
      </w:pPr>
    </w:p>
    <w:p>
      <w:pPr>
        <w:pStyle w:val="56"/>
        <w:ind w:firstLine="0" w:firstLineChars="0"/>
      </w:pPr>
      <w:r>
        <w:pict>
          <v:rect id="_x0000_i1025" o:spt="1" style="height:1pt;width:116.95pt;" fillcolor="#000000" filled="t" stroked="f" coordsize="21600,21600" o:hr="t" o:hrstd="t" o:hrnoshade="t" o:hrpct="250" o:hralign="center">
            <v:path/>
            <v:fill on="t" focussize="0,0"/>
            <v:stroke on="f"/>
            <v:imagedata o:title=""/>
            <o:lock v:ext="edit"/>
            <w10:wrap type="none"/>
            <w10:anchorlock/>
          </v:rect>
        </w:pict>
      </w:r>
    </w:p>
    <w:sectPr>
      <w:headerReference r:id="rId23" w:type="default"/>
      <w:footerReference r:id="rId25" w:type="default"/>
      <w:headerReference r:id="rId24" w:type="even"/>
      <w:footerReference r:id="rId26" w:type="even"/>
      <w:pgSz w:w="11906" w:h="16838"/>
      <w:pgMar w:top="1871"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Leelawadee UI">
    <w:altName w:val="Leelawadee"/>
    <w:panose1 w:val="020B0502040204020203"/>
    <w:charset w:val="00"/>
    <w:family w:val="swiss"/>
    <w:pitch w:val="default"/>
    <w:sig w:usb0="00000000" w:usb1="00000000" w:usb2="00010000" w:usb3="00000000" w:csb0="00010101" w:csb1="00000000"/>
  </w:font>
  <w:font w:name="Leelawadee">
    <w:panose1 w:val="020B0502040204020203"/>
    <w:charset w:val="00"/>
    <w:family w:val="auto"/>
    <w:pitch w:val="default"/>
    <w:sig w:usb0="01000001" w:usb1="00000000" w:usb2="00000000" w:usb3="00000000" w:csb0="20010001"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9</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6</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7</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DB45/T XXXXX—XXXX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DB45/T XXXXX—XXXX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DB45/T 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DB45/T XXXXX—XXXX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DB45/T XXXXX—XXXX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DB45/T XXXXX—XXXX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DB45/T XXXXX—XXXX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DB45/T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pStyle w:val="239"/>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pStyle w:val="240"/>
      <w:lvlText w:val="%1.%2"/>
      <w:lvlJc w:val="left"/>
      <w:pPr>
        <w:tabs>
          <w:tab w:val="left" w:pos="992"/>
        </w:tabs>
        <w:ind w:left="992" w:hanging="567"/>
      </w:pPr>
    </w:lvl>
    <w:lvl w:ilvl="2" w:tentative="0">
      <w:start w:val="1"/>
      <w:numFmt w:val="decimal"/>
      <w:pStyle w:val="241"/>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2"/>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Q/ivyOH6RTlGgXHQCAZXlBgOg3QDqmKsI9G7Gjd7mF96Tq0wbh8OcJD+WvAZU+1t0R9FSTW/BO2uHRNQPTeBSA==" w:salt="iF6SHouGDEBHYEjX1c/sdA=="/>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62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3F68"/>
    <w:rsid w:val="00086AA1"/>
    <w:rsid w:val="00087A77"/>
    <w:rsid w:val="00090CA6"/>
    <w:rsid w:val="00092B8A"/>
    <w:rsid w:val="00092FB0"/>
    <w:rsid w:val="000934C5"/>
    <w:rsid w:val="00093D25"/>
    <w:rsid w:val="00093DAB"/>
    <w:rsid w:val="00094D73"/>
    <w:rsid w:val="00096934"/>
    <w:rsid w:val="00096D63"/>
    <w:rsid w:val="000A0B60"/>
    <w:rsid w:val="000A0EB8"/>
    <w:rsid w:val="000A19FC"/>
    <w:rsid w:val="000A296B"/>
    <w:rsid w:val="000A7311"/>
    <w:rsid w:val="000B060F"/>
    <w:rsid w:val="000B1592"/>
    <w:rsid w:val="000B1FF2"/>
    <w:rsid w:val="000B21B7"/>
    <w:rsid w:val="000B3CDA"/>
    <w:rsid w:val="000B6A0B"/>
    <w:rsid w:val="000C0F6C"/>
    <w:rsid w:val="000C11DB"/>
    <w:rsid w:val="000C1492"/>
    <w:rsid w:val="000C2FBD"/>
    <w:rsid w:val="000C4B41"/>
    <w:rsid w:val="000C57D6"/>
    <w:rsid w:val="000C6362"/>
    <w:rsid w:val="000C7666"/>
    <w:rsid w:val="000C7B17"/>
    <w:rsid w:val="000D0A9C"/>
    <w:rsid w:val="000D1795"/>
    <w:rsid w:val="000D329A"/>
    <w:rsid w:val="000D33D3"/>
    <w:rsid w:val="000D4B9C"/>
    <w:rsid w:val="000D4EB6"/>
    <w:rsid w:val="000D753B"/>
    <w:rsid w:val="000E4C9E"/>
    <w:rsid w:val="000E6FD7"/>
    <w:rsid w:val="000F06E1"/>
    <w:rsid w:val="000F0E3C"/>
    <w:rsid w:val="000F19D5"/>
    <w:rsid w:val="000F4AEA"/>
    <w:rsid w:val="000F67E9"/>
    <w:rsid w:val="00104926"/>
    <w:rsid w:val="001060A7"/>
    <w:rsid w:val="00113B1E"/>
    <w:rsid w:val="0011711C"/>
    <w:rsid w:val="00124E4F"/>
    <w:rsid w:val="001260B7"/>
    <w:rsid w:val="001265CB"/>
    <w:rsid w:val="00126894"/>
    <w:rsid w:val="001321C6"/>
    <w:rsid w:val="001325C4"/>
    <w:rsid w:val="00133010"/>
    <w:rsid w:val="001338EE"/>
    <w:rsid w:val="00133AAE"/>
    <w:rsid w:val="00135323"/>
    <w:rsid w:val="001356C4"/>
    <w:rsid w:val="00141114"/>
    <w:rsid w:val="00142969"/>
    <w:rsid w:val="0014358A"/>
    <w:rsid w:val="001446C2"/>
    <w:rsid w:val="001457E7"/>
    <w:rsid w:val="00145D9D"/>
    <w:rsid w:val="00146388"/>
    <w:rsid w:val="001469E1"/>
    <w:rsid w:val="001529E5"/>
    <w:rsid w:val="001539AD"/>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763"/>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3397"/>
    <w:rsid w:val="002253A1"/>
    <w:rsid w:val="00225CF8"/>
    <w:rsid w:val="0022794E"/>
    <w:rsid w:val="00233D64"/>
    <w:rsid w:val="0023482A"/>
    <w:rsid w:val="002359CB"/>
    <w:rsid w:val="00236C32"/>
    <w:rsid w:val="00243540"/>
    <w:rsid w:val="0024497B"/>
    <w:rsid w:val="0024515B"/>
    <w:rsid w:val="00246021"/>
    <w:rsid w:val="0024666E"/>
    <w:rsid w:val="00247F52"/>
    <w:rsid w:val="00250B25"/>
    <w:rsid w:val="00250BBE"/>
    <w:rsid w:val="002515C2"/>
    <w:rsid w:val="0025194F"/>
    <w:rsid w:val="00253132"/>
    <w:rsid w:val="0026148A"/>
    <w:rsid w:val="00262696"/>
    <w:rsid w:val="00263D25"/>
    <w:rsid w:val="002643C3"/>
    <w:rsid w:val="00264A0C"/>
    <w:rsid w:val="00266EEB"/>
    <w:rsid w:val="0026719B"/>
    <w:rsid w:val="00267EF4"/>
    <w:rsid w:val="00270CB8"/>
    <w:rsid w:val="00272B08"/>
    <w:rsid w:val="00281BB8"/>
    <w:rsid w:val="00281E9E"/>
    <w:rsid w:val="00282405"/>
    <w:rsid w:val="00285170"/>
    <w:rsid w:val="00285361"/>
    <w:rsid w:val="0028699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30C0"/>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1AAF"/>
    <w:rsid w:val="00344605"/>
    <w:rsid w:val="00344E57"/>
    <w:rsid w:val="003474AA"/>
    <w:rsid w:val="00350D1D"/>
    <w:rsid w:val="0035155D"/>
    <w:rsid w:val="00352C83"/>
    <w:rsid w:val="003542B6"/>
    <w:rsid w:val="003615D2"/>
    <w:rsid w:val="0036429C"/>
    <w:rsid w:val="00364A53"/>
    <w:rsid w:val="003654CB"/>
    <w:rsid w:val="00365AA9"/>
    <w:rsid w:val="00365F86"/>
    <w:rsid w:val="00365F87"/>
    <w:rsid w:val="00366E89"/>
    <w:rsid w:val="003705F4"/>
    <w:rsid w:val="00370D58"/>
    <w:rsid w:val="00371316"/>
    <w:rsid w:val="00376713"/>
    <w:rsid w:val="003802D9"/>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1C5E"/>
    <w:rsid w:val="003D262C"/>
    <w:rsid w:val="003D6D61"/>
    <w:rsid w:val="003E091D"/>
    <w:rsid w:val="003E1C53"/>
    <w:rsid w:val="003E1F59"/>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1B8"/>
    <w:rsid w:val="00441AE7"/>
    <w:rsid w:val="00445574"/>
    <w:rsid w:val="004467FB"/>
    <w:rsid w:val="00452D6B"/>
    <w:rsid w:val="00454484"/>
    <w:rsid w:val="0045517B"/>
    <w:rsid w:val="00463B77"/>
    <w:rsid w:val="00463C7B"/>
    <w:rsid w:val="004644A6"/>
    <w:rsid w:val="004659BD"/>
    <w:rsid w:val="0046790E"/>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1DBA"/>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309"/>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01D"/>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2D1A"/>
    <w:rsid w:val="005836A8"/>
    <w:rsid w:val="0058409C"/>
    <w:rsid w:val="00584262"/>
    <w:rsid w:val="00586630"/>
    <w:rsid w:val="00587ADD"/>
    <w:rsid w:val="0059077C"/>
    <w:rsid w:val="00593676"/>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0B96"/>
    <w:rsid w:val="005C29B8"/>
    <w:rsid w:val="005C5F21"/>
    <w:rsid w:val="005C7156"/>
    <w:rsid w:val="005D0C75"/>
    <w:rsid w:val="005D0E22"/>
    <w:rsid w:val="005D4171"/>
    <w:rsid w:val="005D6A95"/>
    <w:rsid w:val="005D6B2C"/>
    <w:rsid w:val="005D6C82"/>
    <w:rsid w:val="005D6D9C"/>
    <w:rsid w:val="005E2335"/>
    <w:rsid w:val="005E34CA"/>
    <w:rsid w:val="005E3C18"/>
    <w:rsid w:val="005E5A98"/>
    <w:rsid w:val="005E5D70"/>
    <w:rsid w:val="005E6812"/>
    <w:rsid w:val="005E7881"/>
    <w:rsid w:val="005E78E0"/>
    <w:rsid w:val="005E79EC"/>
    <w:rsid w:val="005F06F7"/>
    <w:rsid w:val="005F0D9C"/>
    <w:rsid w:val="005F284E"/>
    <w:rsid w:val="005F4666"/>
    <w:rsid w:val="006015CE"/>
    <w:rsid w:val="00604784"/>
    <w:rsid w:val="00606419"/>
    <w:rsid w:val="00607D29"/>
    <w:rsid w:val="0061191E"/>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4714"/>
    <w:rsid w:val="006770F4"/>
    <w:rsid w:val="00677A84"/>
    <w:rsid w:val="0068026D"/>
    <w:rsid w:val="00680A27"/>
    <w:rsid w:val="006816A4"/>
    <w:rsid w:val="006819B8"/>
    <w:rsid w:val="006840A6"/>
    <w:rsid w:val="006850CD"/>
    <w:rsid w:val="00685AAB"/>
    <w:rsid w:val="00687CB3"/>
    <w:rsid w:val="00693AF7"/>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34C"/>
    <w:rsid w:val="006D6593"/>
    <w:rsid w:val="006F03A8"/>
    <w:rsid w:val="006F2ACA"/>
    <w:rsid w:val="006F2ADC"/>
    <w:rsid w:val="006F2BFE"/>
    <w:rsid w:val="006F31E9"/>
    <w:rsid w:val="006F603A"/>
    <w:rsid w:val="006F6284"/>
    <w:rsid w:val="006F734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0C5F"/>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191"/>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DBD"/>
    <w:rsid w:val="007919A3"/>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58DB"/>
    <w:rsid w:val="007D6518"/>
    <w:rsid w:val="007D76BD"/>
    <w:rsid w:val="007E0BF1"/>
    <w:rsid w:val="007E7F20"/>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227"/>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1C3"/>
    <w:rsid w:val="008D622B"/>
    <w:rsid w:val="008D666C"/>
    <w:rsid w:val="008D7B54"/>
    <w:rsid w:val="008E0C9D"/>
    <w:rsid w:val="008E0ED3"/>
    <w:rsid w:val="008E1648"/>
    <w:rsid w:val="008E1B3E"/>
    <w:rsid w:val="008E2319"/>
    <w:rsid w:val="008E4BB6"/>
    <w:rsid w:val="008E5518"/>
    <w:rsid w:val="008E6671"/>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6C5B"/>
    <w:rsid w:val="009610DC"/>
    <w:rsid w:val="00961490"/>
    <w:rsid w:val="00962E37"/>
    <w:rsid w:val="0096381A"/>
    <w:rsid w:val="00965E04"/>
    <w:rsid w:val="009674AD"/>
    <w:rsid w:val="00970CDC"/>
    <w:rsid w:val="0097676F"/>
    <w:rsid w:val="00977010"/>
    <w:rsid w:val="0097728D"/>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624"/>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59C9"/>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30A"/>
    <w:rsid w:val="00A67866"/>
    <w:rsid w:val="00A70B07"/>
    <w:rsid w:val="00A723F8"/>
    <w:rsid w:val="00A77CCB"/>
    <w:rsid w:val="00A83D8D"/>
    <w:rsid w:val="00A8446B"/>
    <w:rsid w:val="00A8473F"/>
    <w:rsid w:val="00A862D6"/>
    <w:rsid w:val="00A8715E"/>
    <w:rsid w:val="00A90D08"/>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2CF"/>
    <w:rsid w:val="00AD56EF"/>
    <w:rsid w:val="00AE070A"/>
    <w:rsid w:val="00AE101C"/>
    <w:rsid w:val="00AE37E5"/>
    <w:rsid w:val="00AE5D35"/>
    <w:rsid w:val="00AE5EB4"/>
    <w:rsid w:val="00AF0C18"/>
    <w:rsid w:val="00AF47C5"/>
    <w:rsid w:val="00AF5398"/>
    <w:rsid w:val="00B049AF"/>
    <w:rsid w:val="00B05FF4"/>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212"/>
    <w:rsid w:val="00B86677"/>
    <w:rsid w:val="00B87131"/>
    <w:rsid w:val="00B939B1"/>
    <w:rsid w:val="00B96D40"/>
    <w:rsid w:val="00B97386"/>
    <w:rsid w:val="00BA263B"/>
    <w:rsid w:val="00BA42B2"/>
    <w:rsid w:val="00BA58D4"/>
    <w:rsid w:val="00BA5B9E"/>
    <w:rsid w:val="00BA7C9A"/>
    <w:rsid w:val="00BB2AB8"/>
    <w:rsid w:val="00BB5F8F"/>
    <w:rsid w:val="00BB657A"/>
    <w:rsid w:val="00BC1A4E"/>
    <w:rsid w:val="00BC5535"/>
    <w:rsid w:val="00BC5DC7"/>
    <w:rsid w:val="00BC6B8B"/>
    <w:rsid w:val="00BC73D8"/>
    <w:rsid w:val="00BD52D7"/>
    <w:rsid w:val="00BD5AD2"/>
    <w:rsid w:val="00BE22F3"/>
    <w:rsid w:val="00BE5B52"/>
    <w:rsid w:val="00BE7B8D"/>
    <w:rsid w:val="00BF0993"/>
    <w:rsid w:val="00BF10A9"/>
    <w:rsid w:val="00BF1703"/>
    <w:rsid w:val="00BF231C"/>
    <w:rsid w:val="00BF40AD"/>
    <w:rsid w:val="00BF51E5"/>
    <w:rsid w:val="00BF74A6"/>
    <w:rsid w:val="00C013AD"/>
    <w:rsid w:val="00C04904"/>
    <w:rsid w:val="00C056B3"/>
    <w:rsid w:val="00C103E5"/>
    <w:rsid w:val="00C13319"/>
    <w:rsid w:val="00C13EE9"/>
    <w:rsid w:val="00C14277"/>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AF5"/>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CE7"/>
    <w:rsid w:val="00CC038D"/>
    <w:rsid w:val="00CC08DB"/>
    <w:rsid w:val="00CC105E"/>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8D7"/>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BF9"/>
    <w:rsid w:val="00D10F50"/>
    <w:rsid w:val="00D11272"/>
    <w:rsid w:val="00D126F5"/>
    <w:rsid w:val="00D1489E"/>
    <w:rsid w:val="00D20737"/>
    <w:rsid w:val="00D21E81"/>
    <w:rsid w:val="00D223DE"/>
    <w:rsid w:val="00D24F2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09EF"/>
    <w:rsid w:val="00D71F25"/>
    <w:rsid w:val="00D72A9C"/>
    <w:rsid w:val="00D77031"/>
    <w:rsid w:val="00D84941"/>
    <w:rsid w:val="00D84FA1"/>
    <w:rsid w:val="00D851F0"/>
    <w:rsid w:val="00D85620"/>
    <w:rsid w:val="00D86DB7"/>
    <w:rsid w:val="00D90EB6"/>
    <w:rsid w:val="00D926D0"/>
    <w:rsid w:val="00D93030"/>
    <w:rsid w:val="00D950E1"/>
    <w:rsid w:val="00D952A6"/>
    <w:rsid w:val="00D97F99"/>
    <w:rsid w:val="00DA0C89"/>
    <w:rsid w:val="00DA1E08"/>
    <w:rsid w:val="00DA24F8"/>
    <w:rsid w:val="00DA28E8"/>
    <w:rsid w:val="00DA38D3"/>
    <w:rsid w:val="00DA3932"/>
    <w:rsid w:val="00DA3AFC"/>
    <w:rsid w:val="00DA64F8"/>
    <w:rsid w:val="00DA6C15"/>
    <w:rsid w:val="00DB0258"/>
    <w:rsid w:val="00DB1AEC"/>
    <w:rsid w:val="00DB38EE"/>
    <w:rsid w:val="00DB498B"/>
    <w:rsid w:val="00DB66CA"/>
    <w:rsid w:val="00DB6BCA"/>
    <w:rsid w:val="00DB73F7"/>
    <w:rsid w:val="00DC0321"/>
    <w:rsid w:val="00DC2033"/>
    <w:rsid w:val="00DC3067"/>
    <w:rsid w:val="00DC370B"/>
    <w:rsid w:val="00DC5B90"/>
    <w:rsid w:val="00DD00FF"/>
    <w:rsid w:val="00DD0619"/>
    <w:rsid w:val="00DD07FB"/>
    <w:rsid w:val="00DD25C6"/>
    <w:rsid w:val="00DD4FE5"/>
    <w:rsid w:val="00DD54B0"/>
    <w:rsid w:val="00DD57EE"/>
    <w:rsid w:val="00DD6BCC"/>
    <w:rsid w:val="00DE0A4B"/>
    <w:rsid w:val="00DE17E9"/>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4AE5"/>
    <w:rsid w:val="00E2552F"/>
    <w:rsid w:val="00E3137A"/>
    <w:rsid w:val="00E32CCF"/>
    <w:rsid w:val="00E34A98"/>
    <w:rsid w:val="00E35D1E"/>
    <w:rsid w:val="00E364F9"/>
    <w:rsid w:val="00E365FA"/>
    <w:rsid w:val="00E36789"/>
    <w:rsid w:val="00E44785"/>
    <w:rsid w:val="00E44A83"/>
    <w:rsid w:val="00E502C1"/>
    <w:rsid w:val="00E502DD"/>
    <w:rsid w:val="00E50D3A"/>
    <w:rsid w:val="00E51387"/>
    <w:rsid w:val="00E51E68"/>
    <w:rsid w:val="00E52EFD"/>
    <w:rsid w:val="00E5408A"/>
    <w:rsid w:val="00E554C8"/>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94D"/>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234C"/>
    <w:rsid w:val="00F33817"/>
    <w:rsid w:val="00F420D5"/>
    <w:rsid w:val="00F451EA"/>
    <w:rsid w:val="00F45447"/>
    <w:rsid w:val="00F456C6"/>
    <w:rsid w:val="00F4577B"/>
    <w:rsid w:val="00F46496"/>
    <w:rsid w:val="00F474D0"/>
    <w:rsid w:val="00F50179"/>
    <w:rsid w:val="00F515EE"/>
    <w:rsid w:val="00F56511"/>
    <w:rsid w:val="00F6194E"/>
    <w:rsid w:val="00F62300"/>
    <w:rsid w:val="00F623AC"/>
    <w:rsid w:val="00F6412A"/>
    <w:rsid w:val="00F64794"/>
    <w:rsid w:val="00F65893"/>
    <w:rsid w:val="00F66A4A"/>
    <w:rsid w:val="00F71E22"/>
    <w:rsid w:val="00F72142"/>
    <w:rsid w:val="00F72AE7"/>
    <w:rsid w:val="00F73B81"/>
    <w:rsid w:val="00F833BA"/>
    <w:rsid w:val="00F84FD0"/>
    <w:rsid w:val="00F859A8"/>
    <w:rsid w:val="00F86D87"/>
    <w:rsid w:val="00F9108B"/>
    <w:rsid w:val="00F91349"/>
    <w:rsid w:val="00F93A8A"/>
    <w:rsid w:val="00F95248"/>
    <w:rsid w:val="00F956A9"/>
    <w:rsid w:val="00F963ED"/>
    <w:rsid w:val="00F966CF"/>
    <w:rsid w:val="00F967CE"/>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BD9376F"/>
    <w:rsid w:val="2AEB6390"/>
    <w:rsid w:val="52FB530F"/>
    <w:rsid w:val="5BED4A91"/>
    <w:rsid w:val="625F415B"/>
    <w:rsid w:val="70B67C4E"/>
    <w:rsid w:val="77A66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rFonts w:ascii="Times New Roman" w:hAnsi="Times New Roman" w:eastAsia="宋体" w:cs="Times New Roman"/>
      <w:szCs w:val="20"/>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pPr>
  </w:style>
  <w:style w:type="paragraph" w:customStyle="1" w:styleId="91">
    <w:name w:val="标准文件_目录标题"/>
    <w:basedOn w:val="1"/>
    <w:uiPriority w:val="0"/>
    <w:pPr>
      <w:spacing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hAnsi="Times New Roman" w:eastAsia="宋体" w:cs="Times New Roman"/>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link w:val="231"/>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basedOn w:val="28"/>
    <w:link w:val="230"/>
    <w:uiPriority w:val="0"/>
    <w:rPr>
      <w:rFonts w:ascii="宋体" w:hAnsi="Times New Roman"/>
      <w:sz w:val="21"/>
    </w:rPr>
  </w:style>
  <w:style w:type="paragraph" w:customStyle="1" w:styleId="232">
    <w:name w:val="一级条标题"/>
    <w:next w:val="230"/>
    <w:uiPriority w:val="0"/>
    <w:p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3">
    <w:name w:val="章标题"/>
    <w:next w:val="230"/>
    <w:uiPriority w:val="0"/>
    <w:p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4">
    <w:name w:val="二级条标题"/>
    <w:basedOn w:val="232"/>
    <w:next w:val="230"/>
    <w:uiPriority w:val="0"/>
    <w:pPr>
      <w:spacing w:before="50" w:after="50"/>
      <w:outlineLvl w:val="3"/>
    </w:pPr>
  </w:style>
  <w:style w:type="paragraph" w:customStyle="1" w:styleId="235">
    <w:name w:val="三级条标题"/>
    <w:basedOn w:val="234"/>
    <w:next w:val="230"/>
    <w:uiPriority w:val="0"/>
    <w:pPr>
      <w:outlineLvl w:val="4"/>
    </w:pPr>
  </w:style>
  <w:style w:type="paragraph" w:customStyle="1" w:styleId="236">
    <w:name w:val="三级无"/>
    <w:basedOn w:val="235"/>
    <w:uiPriority w:val="0"/>
    <w:pPr>
      <w:spacing w:before="0" w:beforeLines="0" w:after="0" w:afterLines="0"/>
    </w:pPr>
    <w:rPr>
      <w:rFonts w:ascii="宋体" w:eastAsia="宋体"/>
    </w:rPr>
  </w:style>
  <w:style w:type="paragraph" w:customStyle="1" w:styleId="237">
    <w:name w:val="正文表标题"/>
    <w:next w:val="230"/>
    <w:uiPriority w:val="0"/>
    <w:pPr>
      <w:tabs>
        <w:tab w:val="left" w:pos="360"/>
        <w:tab w:val="left" w:pos="851"/>
      </w:tabs>
      <w:spacing w:before="156" w:beforeLines="50" w:after="156" w:afterLines="50"/>
      <w:ind w:left="851" w:hanging="426"/>
      <w:jc w:val="center"/>
    </w:pPr>
    <w:rPr>
      <w:rFonts w:ascii="黑体" w:hAnsi="Times New Roman" w:eastAsia="黑体" w:cs="Times New Roman"/>
      <w:sz w:val="21"/>
      <w:lang w:val="en-US" w:eastAsia="zh-CN" w:bidi="ar-SA"/>
    </w:rPr>
  </w:style>
  <w:style w:type="character" w:customStyle="1" w:styleId="238">
    <w:name w:val="15"/>
    <w:basedOn w:val="28"/>
    <w:uiPriority w:val="0"/>
    <w:rPr>
      <w:rFonts w:hint="default" w:ascii="Times New Roman" w:hAnsi="Times New Roman" w:eastAsia="仿宋_GB2312" w:cs="Times New Roman"/>
      <w:color w:val="000000"/>
      <w:sz w:val="24"/>
      <w:szCs w:val="24"/>
    </w:rPr>
  </w:style>
  <w:style w:type="paragraph" w:customStyle="1" w:styleId="239">
    <w:name w:val="附录表标题"/>
    <w:basedOn w:val="1"/>
    <w:next w:val="230"/>
    <w:uiPriority w:val="0"/>
    <w:pPr>
      <w:numPr>
        <w:ilvl w:val="1"/>
        <w:numId w:val="17"/>
      </w:numPr>
      <w:tabs>
        <w:tab w:val="left" w:pos="180"/>
      </w:tabs>
      <w:adjustRightInd/>
      <w:spacing w:before="50" w:beforeLines="50" w:after="50" w:afterLines="50" w:line="240" w:lineRule="auto"/>
      <w:jc w:val="center"/>
    </w:pPr>
    <w:rPr>
      <w:rFonts w:ascii="黑体" w:hAnsi="Times New Roman" w:eastAsia="黑体"/>
    </w:rPr>
  </w:style>
  <w:style w:type="paragraph" w:customStyle="1" w:styleId="240">
    <w:name w:val="附录章标题"/>
    <w:next w:val="230"/>
    <w:uiPriority w:val="0"/>
    <w:pPr>
      <w:numPr>
        <w:ilvl w:val="1"/>
        <w:numId w:val="16"/>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41">
    <w:name w:val="附录一级条标题"/>
    <w:basedOn w:val="240"/>
    <w:next w:val="230"/>
    <w:uiPriority w:val="0"/>
    <w:pPr>
      <w:numPr>
        <w:ilvl w:val="2"/>
      </w:numPr>
      <w:autoSpaceDN w:val="0"/>
      <w:spacing w:before="50" w:beforeLines="50" w:after="50" w:afterLines="50"/>
      <w:outlineLvl w:val="2"/>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1.tiff"/><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CA48043EB7C42AB83008508C1F72BDF"/>
        <w:style w:val=""/>
        <w:category>
          <w:name w:val="常规"/>
          <w:gallery w:val="placeholder"/>
        </w:category>
        <w:types>
          <w:type w:val="bbPlcHdr"/>
        </w:types>
        <w:behaviors>
          <w:behavior w:val="content"/>
        </w:behaviors>
        <w:description w:val=""/>
        <w:guid w:val="{ACD0F155-FBFE-4CB6-8C5E-AC2B67ABB99E}"/>
      </w:docPartPr>
      <w:docPartBody>
        <w:p>
          <w:pPr>
            <w:pStyle w:val="5"/>
          </w:pPr>
          <w:r>
            <w:rPr>
              <w:rStyle w:val="4"/>
              <w:rFonts w:hint="eastAsia"/>
            </w:rPr>
            <w:t>单击或点击此处输入文字。</w:t>
          </w:r>
        </w:p>
      </w:docPartBody>
    </w:docPart>
    <w:docPart>
      <w:docPartPr>
        <w:name w:val="9568AFCFCB3E475C87DEB5D907298061"/>
        <w:style w:val=""/>
        <w:category>
          <w:name w:val="常规"/>
          <w:gallery w:val="placeholder"/>
        </w:category>
        <w:types>
          <w:type w:val="bbPlcHdr"/>
        </w:types>
        <w:behaviors>
          <w:behavior w:val="content"/>
        </w:behaviors>
        <w:description w:val=""/>
        <w:guid w:val="{65B44E5B-3AEB-47CC-BC82-305FD2F9B307}"/>
      </w:docPartPr>
      <w:docPartBody>
        <w:p>
          <w:pPr>
            <w:pStyle w:val="6"/>
          </w:pPr>
          <w:r>
            <w:rPr>
              <w:rStyle w:val="4"/>
              <w:rFonts w:hint="eastAsia"/>
            </w:rPr>
            <w:t>选择一项。</w:t>
          </w:r>
        </w:p>
      </w:docPartBody>
    </w:docPart>
    <w:docPart>
      <w:docPartPr>
        <w:name w:val="069D89E3495A4B5489AD719B77C55D35"/>
        <w:style w:val=""/>
        <w:category>
          <w:name w:val="常规"/>
          <w:gallery w:val="placeholder"/>
        </w:category>
        <w:types>
          <w:type w:val="bbPlcHdr"/>
        </w:types>
        <w:behaviors>
          <w:behavior w:val="content"/>
        </w:behaviors>
        <w:description w:val=""/>
        <w:guid w:val="{C89A6EF6-17B4-49ED-8A48-26384BA891D6}"/>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7BA"/>
    <w:rsid w:val="000572B7"/>
    <w:rsid w:val="001D2E3E"/>
    <w:rsid w:val="00240B0C"/>
    <w:rsid w:val="005900B4"/>
    <w:rsid w:val="005977BA"/>
    <w:rsid w:val="00AB0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CA48043EB7C42AB83008508C1F72BD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568AFCFCB3E475C87DEB5D90729806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69D89E3495A4B5489AD719B77C55D35"/>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DD47B6-AB6C-4943-8C0E-4C759EDF0227}">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14</Pages>
  <Words>1191</Words>
  <Characters>6794</Characters>
  <Lines>56</Lines>
  <Paragraphs>15</Paragraphs>
  <TotalTime>1</TotalTime>
  <ScaleCrop>false</ScaleCrop>
  <LinksUpToDate>false</LinksUpToDate>
  <CharactersWithSpaces>7970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2020-12-11T14:42:00Z</dcterms:created>
  <dc:creator>标准化研究所-王全永</dc:creator>
  <dc:description>&lt;config cover="true" show_menu="true" version="1.0.0" doctype="SDKXY"&gt;_x000d_
&lt;/config&gt;</dc:description>
  <cp:lastModifiedBy>Administrator</cp:lastModifiedBy>
  <cp:lastPrinted>2020-08-30T10:00:00Z</cp:lastPrinted>
  <dcterms:modified xsi:type="dcterms:W3CDTF">2021-07-13T02:37:32Z</dcterms:modified>
  <dc:title>地方标准</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2052-11.1.0.10578</vt:lpwstr>
  </property>
  <property fmtid="{D5CDD505-2E9C-101B-9397-08002B2CF9AE}" pid="16" name="ICV">
    <vt:lpwstr>4BD198BE3604491ABB2457D7446C3DB9</vt:lpwstr>
  </property>
</Properties>
</file>