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DF" w:rsidRDefault="00840D87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0838DF" w:rsidRDefault="00840D87">
      <w:pPr>
        <w:pStyle w:val="2"/>
        <w:numPr>
          <w:ilvl w:val="0"/>
          <w:numId w:val="1"/>
        </w:numPr>
      </w:pPr>
      <w:proofErr w:type="gramStart"/>
      <w:r>
        <w:rPr>
          <w:rFonts w:hint="eastAsia"/>
        </w:rPr>
        <w:t>噻</w:t>
      </w:r>
      <w:proofErr w:type="gramEnd"/>
      <w:r>
        <w:rPr>
          <w:rFonts w:hint="eastAsia"/>
        </w:rPr>
        <w:t>虫胺</w:t>
      </w:r>
    </w:p>
    <w:p w:rsidR="000838DF" w:rsidRDefault="00840D87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虫胺，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具有根内吸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活性和层间传导性。</w:t>
      </w:r>
      <w:r>
        <w:rPr>
          <w:rFonts w:ascii="Times New Roman" w:eastAsia="仿宋" w:hAnsi="Times New Roman" w:cs="Times New Roman" w:hint="eastAsia"/>
          <w:sz w:val="32"/>
          <w:szCs w:val="32"/>
        </w:rPr>
        <w:t>可通过</w:t>
      </w:r>
      <w:r>
        <w:rPr>
          <w:rFonts w:ascii="Times New Roman" w:eastAsia="仿宋" w:hAnsi="Times New Roman" w:cs="Times New Roman" w:hint="eastAsia"/>
          <w:sz w:val="32"/>
          <w:szCs w:val="32"/>
        </w:rPr>
        <w:t>土壤处理、叶面喷施和种子处理</w:t>
      </w:r>
      <w:r>
        <w:rPr>
          <w:rFonts w:ascii="Times New Roman" w:eastAsia="仿宋" w:hAnsi="Times New Roman" w:cs="Times New Roman" w:hint="eastAsia"/>
          <w:sz w:val="32"/>
          <w:szCs w:val="32"/>
        </w:rPr>
        <w:t>来</w:t>
      </w:r>
      <w:r>
        <w:rPr>
          <w:rFonts w:ascii="Times New Roman" w:eastAsia="仿宋" w:hAnsi="Times New Roman" w:cs="Times New Roman" w:hint="eastAsia"/>
          <w:sz w:val="32"/>
          <w:szCs w:val="32"/>
        </w:rPr>
        <w:t>防治水稻、玉米、油菜、果树和蔬菜、柑橘的刺吸式和咀嚼式害虫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少量的残留不会引起人体急性中毒，但长期食用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虫胺</w:t>
      </w:r>
      <w:r>
        <w:rPr>
          <w:rFonts w:ascii="Times New Roman" w:eastAsia="仿宋" w:hAnsi="Times New Roman" w:cs="Times New Roman" w:hint="eastAsia"/>
          <w:sz w:val="32"/>
          <w:szCs w:val="32"/>
        </w:rPr>
        <w:t>超标的食品，可能对人体健康有一定影响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" w:hAnsi="Times New Roman" w:cs="Times New Roman" w:hint="eastAsia"/>
          <w:sz w:val="32"/>
          <w:szCs w:val="32"/>
        </w:rPr>
        <w:t>GB 2763</w:t>
      </w:r>
      <w:r>
        <w:rPr>
          <w:rFonts w:ascii="Times New Roman" w:eastAsia="仿宋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 w:hint="eastAsia"/>
          <w:sz w:val="32"/>
          <w:szCs w:val="32"/>
        </w:rPr>
        <w:t>2019</w:t>
      </w:r>
      <w:r>
        <w:rPr>
          <w:rFonts w:ascii="Times New Roman" w:eastAsia="仿宋" w:hAnsi="Times New Roman" w:cs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噻虫胺在</w:t>
      </w:r>
      <w:r>
        <w:rPr>
          <w:rFonts w:ascii="Times New Roman" w:eastAsia="仿宋" w:hAnsi="Times New Roman" w:cs="Times New Roman" w:hint="eastAsia"/>
          <w:sz w:val="32"/>
          <w:szCs w:val="32"/>
        </w:rPr>
        <w:t>根茎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类蔬菜</w:t>
      </w:r>
      <w:r>
        <w:rPr>
          <w:rFonts w:ascii="Times New Roman" w:eastAsia="仿宋" w:hAnsi="Times New Roman" w:cs="Times New Roman" w:hint="eastAsia"/>
          <w:sz w:val="32"/>
          <w:szCs w:val="32"/>
        </w:rPr>
        <w:t>中的最大残留限量值为</w:t>
      </w:r>
      <w:r>
        <w:rPr>
          <w:rFonts w:ascii="Times New Roman" w:eastAsia="仿宋" w:hAnsi="Times New Roman" w:cs="Times New Roman" w:hint="eastAsia"/>
          <w:sz w:val="32"/>
          <w:szCs w:val="32"/>
        </w:rPr>
        <w:t>0.2mg/kg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姜</w:t>
      </w:r>
      <w:r>
        <w:rPr>
          <w:rFonts w:ascii="Times New Roman" w:eastAsia="仿宋" w:hAnsi="Times New Roman" w:cs="Times New Roman" w:hint="eastAsia"/>
          <w:sz w:val="32"/>
          <w:szCs w:val="32"/>
        </w:rPr>
        <w:t>中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虫胺残留量超标的原因，可能是为快速控制病情，加大用药量或未遵守采摘间隔期规定，致使上市销售的产品中残留量超标。</w:t>
      </w:r>
    </w:p>
    <w:p w:rsidR="000838DF" w:rsidRDefault="000838DF"/>
    <w:p w:rsidR="000838DF" w:rsidRDefault="00840D87">
      <w:pPr>
        <w:pStyle w:val="2"/>
        <w:numPr>
          <w:ilvl w:val="0"/>
          <w:numId w:val="1"/>
        </w:numPr>
      </w:pP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虫</w:t>
      </w:r>
      <w:proofErr w:type="gramStart"/>
      <w:r>
        <w:rPr>
          <w:rFonts w:hint="eastAsia"/>
        </w:rPr>
        <w:t>啉</w:t>
      </w:r>
      <w:proofErr w:type="gramEnd"/>
    </w:p>
    <w:p w:rsidR="000838DF" w:rsidRDefault="00840D8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属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氯化烟酰类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杀虫剂，具有广谱、高效、低毒等特点。长期食用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超标的食品，可能对人体产生危害。《食品安全国家标准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在香蕉</w:t>
      </w:r>
      <w:r>
        <w:rPr>
          <w:rFonts w:ascii="Times New Roman" w:eastAsia="仿宋_GB2312" w:hAnsi="Times New Roman" w:cs="Times New Roman"/>
          <w:sz w:val="32"/>
          <w:szCs w:val="32"/>
        </w:rPr>
        <w:t>中的最大残留限量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5mg/kg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在根茎类蔬菜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（胡萝卜除外）</w:t>
      </w:r>
      <w:r>
        <w:rPr>
          <w:rFonts w:ascii="Times New Roman" w:eastAsia="仿宋_GB2312" w:hAnsi="Times New Roman" w:cs="Times New Roman"/>
          <w:sz w:val="32"/>
          <w:szCs w:val="32"/>
        </w:rPr>
        <w:t>中的最大残留限量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0.5mg/kg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香蕉、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姜中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超标的原因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可能是为快速控制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虫害</w:t>
      </w:r>
      <w:r>
        <w:rPr>
          <w:rFonts w:ascii="Times New Roman" w:eastAsia="仿宋_GB2312" w:hAnsi="Times New Roman" w:cs="Times New Roman"/>
          <w:sz w:val="32"/>
          <w:szCs w:val="32"/>
        </w:rPr>
        <w:t>加大用药量，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未遵守采摘间隔期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>
        <w:rPr>
          <w:rFonts w:ascii="Times New Roman" w:eastAsia="仿宋_GB2312" w:hAnsi="Times New Roman" w:cs="Times New Roman"/>
          <w:sz w:val="32"/>
          <w:szCs w:val="32"/>
        </w:rPr>
        <w:t>，致使上市销售时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产品中的药物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残留量</w:t>
      </w:r>
      <w:r>
        <w:rPr>
          <w:rFonts w:ascii="Times New Roman" w:eastAsia="仿宋_GB2312" w:hAnsi="Times New Roman" w:cs="Times New Roman"/>
          <w:sz w:val="32"/>
          <w:szCs w:val="32"/>
        </w:rPr>
        <w:t>未降解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至标准限量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下。</w:t>
      </w:r>
    </w:p>
    <w:p w:rsidR="000838DF" w:rsidRDefault="000838DF"/>
    <w:p w:rsidR="000838DF" w:rsidRDefault="00840D87">
      <w:pPr>
        <w:pStyle w:val="2"/>
        <w:numPr>
          <w:ilvl w:val="0"/>
          <w:numId w:val="1"/>
        </w:numPr>
      </w:pPr>
      <w:r>
        <w:rPr>
          <w:rFonts w:hint="eastAsia"/>
        </w:rPr>
        <w:lastRenderedPageBreak/>
        <w:t>氧乐果</w:t>
      </w:r>
    </w:p>
    <w:p w:rsidR="000838DF" w:rsidRDefault="00840D8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bookmarkStart w:id="0" w:name="_Toc14504"/>
      <w:bookmarkStart w:id="1" w:name="_Toc30283"/>
      <w:r>
        <w:rPr>
          <w:rFonts w:ascii="仿宋_GB2312" w:eastAsia="仿宋_GB2312" w:hint="eastAsia"/>
          <w:sz w:val="32"/>
          <w:szCs w:val="32"/>
        </w:rPr>
        <w:t>氧乐果属于有机磷类杀虫剂，</w:t>
      </w:r>
      <w:r>
        <w:rPr>
          <w:rFonts w:ascii="仿宋_GB2312" w:eastAsia="仿宋_GB2312"/>
          <w:sz w:val="32"/>
          <w:szCs w:val="32"/>
        </w:rPr>
        <w:t>具有较强的内吸、触杀和胃毒作用</w:t>
      </w:r>
      <w:r>
        <w:rPr>
          <w:rFonts w:ascii="仿宋_GB2312" w:eastAsia="仿宋_GB2312" w:hint="eastAsia"/>
          <w:sz w:val="32"/>
          <w:szCs w:val="32"/>
        </w:rPr>
        <w:t>，主要用于防治吮吸式口器害虫和植物性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bookmarkEnd w:id="0"/>
      <w:bookmarkEnd w:id="1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氧乐果</w:t>
      </w:r>
      <w:r>
        <w:rPr>
          <w:rFonts w:ascii="Times New Roman" w:eastAsia="仿宋_GB2312" w:hAnsi="Times New Roman" w:hint="eastAsia"/>
          <w:sz w:val="32"/>
          <w:szCs w:val="32"/>
        </w:rPr>
        <w:t>在豆类蔬菜</w:t>
      </w:r>
      <w:r>
        <w:rPr>
          <w:rFonts w:ascii="Times New Roman" w:eastAsia="仿宋_GB2312" w:hAnsi="Times New Roman" w:hint="eastAsia"/>
          <w:sz w:val="32"/>
          <w:szCs w:val="32"/>
        </w:rPr>
        <w:t>、叶菜类蔬菜</w:t>
      </w:r>
      <w:r>
        <w:rPr>
          <w:rFonts w:ascii="Times New Roman" w:eastAsia="仿宋_GB2312" w:hAnsi="Times New Roman" w:hint="eastAsia"/>
          <w:sz w:val="32"/>
          <w:szCs w:val="32"/>
        </w:rPr>
        <w:t>和茄果类蔬菜中的最大残留限量均为</w:t>
      </w:r>
      <w:r>
        <w:rPr>
          <w:rFonts w:ascii="Times New Roman" w:eastAsia="仿宋_GB2312" w:hAnsi="Times New Roman"/>
          <w:sz w:val="32"/>
          <w:szCs w:val="32"/>
        </w:rPr>
        <w:t>0.02</w:t>
      </w:r>
      <w:r>
        <w:rPr>
          <w:rFonts w:ascii="Times New Roman" w:eastAsia="仿宋_GB2312" w:hAnsi="Times New Roman" w:hint="eastAsia"/>
          <w:sz w:val="32"/>
          <w:szCs w:val="32"/>
        </w:rPr>
        <w:t>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0838DF" w:rsidRDefault="000838DF"/>
    <w:p w:rsidR="000838DF" w:rsidRDefault="00840D87">
      <w:pPr>
        <w:pStyle w:val="2"/>
        <w:numPr>
          <w:ilvl w:val="0"/>
          <w:numId w:val="1"/>
        </w:numPr>
      </w:pPr>
      <w:r>
        <w:rPr>
          <w:rFonts w:hint="eastAsia"/>
        </w:rPr>
        <w:t>镉</w:t>
      </w:r>
      <w:r>
        <w:rPr>
          <w:rFonts w:ascii="仿宋_GB2312" w:eastAsia="仿宋_GB2312" w:hint="eastAsia"/>
          <w:szCs w:val="32"/>
        </w:rPr>
        <w:t>（以</w:t>
      </w:r>
      <w:r>
        <w:rPr>
          <w:rFonts w:ascii="仿宋_GB2312" w:eastAsia="仿宋_GB2312" w:hint="eastAsia"/>
          <w:szCs w:val="32"/>
        </w:rPr>
        <w:t>Cd</w:t>
      </w:r>
      <w:r>
        <w:rPr>
          <w:rFonts w:ascii="仿宋_GB2312" w:eastAsia="仿宋_GB2312" w:hint="eastAsia"/>
          <w:szCs w:val="32"/>
        </w:rPr>
        <w:t>计）</w:t>
      </w:r>
    </w:p>
    <w:p w:rsidR="000838DF" w:rsidRDefault="00840D87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镉是一种蓄积性的重金属元素</w:t>
      </w:r>
      <w:r>
        <w:rPr>
          <w:rFonts w:ascii="仿宋_GB2312" w:eastAsia="仿宋_GB2312" w:hint="eastAsia"/>
          <w:sz w:val="32"/>
          <w:szCs w:val="32"/>
        </w:rPr>
        <w:t>，可通过食物链进入人体</w:t>
      </w:r>
      <w:r>
        <w:rPr>
          <w:rFonts w:ascii="仿宋_GB2312" w:eastAsia="仿宋_GB2312" w:hint="eastAsia"/>
          <w:sz w:val="32"/>
          <w:szCs w:val="32"/>
        </w:rPr>
        <w:t>。长期食用</w:t>
      </w:r>
      <w:proofErr w:type="gramStart"/>
      <w:r>
        <w:rPr>
          <w:rFonts w:ascii="仿宋_GB2312" w:eastAsia="仿宋_GB2312" w:hint="eastAsia"/>
          <w:sz w:val="32"/>
          <w:szCs w:val="32"/>
        </w:rPr>
        <w:t>镉</w:t>
      </w:r>
      <w:proofErr w:type="gramEnd"/>
      <w:r>
        <w:rPr>
          <w:rFonts w:ascii="仿宋_GB2312" w:eastAsia="仿宋_GB2312" w:hint="eastAsia"/>
          <w:sz w:val="32"/>
          <w:szCs w:val="32"/>
        </w:rPr>
        <w:t>超标的食品，可能会对人体肾脏和肝脏造成损害，还会影响免疫系统，甚至可能对儿童高级神经活动有损害。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/>
          <w:sz w:val="32"/>
          <w:szCs w:val="32"/>
        </w:rPr>
        <w:t>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镉（以</w:t>
      </w:r>
      <w:r>
        <w:rPr>
          <w:rFonts w:ascii="仿宋_GB2312" w:eastAsia="仿宋_GB2312" w:hint="eastAsia"/>
          <w:sz w:val="32"/>
          <w:szCs w:val="32"/>
        </w:rPr>
        <w:t>Cd</w:t>
      </w:r>
      <w:r>
        <w:rPr>
          <w:rFonts w:ascii="仿宋_GB2312" w:eastAsia="仿宋_GB2312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茄果类蔬菜</w:t>
      </w:r>
      <w:r>
        <w:rPr>
          <w:rFonts w:ascii="Times New Roman" w:eastAsia="仿宋_GB2312" w:hAnsi="Times New Roman" w:hint="eastAsia"/>
          <w:sz w:val="32"/>
          <w:szCs w:val="32"/>
        </w:rPr>
        <w:t>中的</w:t>
      </w:r>
      <w:r>
        <w:rPr>
          <w:rFonts w:ascii="仿宋_GB2312" w:eastAsia="仿宋_GB2312" w:hint="eastAsia"/>
          <w:sz w:val="32"/>
          <w:szCs w:val="32"/>
        </w:rPr>
        <w:t>限量值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0.05</w:t>
      </w:r>
      <w:r>
        <w:rPr>
          <w:rFonts w:ascii="Times New Roman" w:eastAsia="仿宋_GB2312" w:hAnsi="Times New Roman" w:hint="eastAsia"/>
          <w:sz w:val="32"/>
          <w:szCs w:val="32"/>
        </w:rPr>
        <w:t>mg/kg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辣椒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镉</w:t>
      </w:r>
      <w:r>
        <w:rPr>
          <w:rFonts w:ascii="Times New Roman" w:eastAsia="仿宋_GB2312" w:hAnsi="Times New Roman" w:hint="eastAsia"/>
          <w:sz w:val="32"/>
          <w:szCs w:val="32"/>
        </w:rPr>
        <w:t>超标的原因，可能是</w:t>
      </w:r>
      <w:r>
        <w:rPr>
          <w:rFonts w:ascii="Times New Roman" w:eastAsia="仿宋_GB2312" w:hAnsi="Times New Roman" w:hint="eastAsia"/>
          <w:sz w:val="32"/>
          <w:szCs w:val="32"/>
        </w:rPr>
        <w:t>种植</w:t>
      </w:r>
      <w:r>
        <w:rPr>
          <w:rFonts w:ascii="Times New Roman" w:eastAsia="仿宋_GB2312" w:hAnsi="Times New Roman" w:hint="eastAsia"/>
          <w:sz w:val="32"/>
          <w:szCs w:val="32"/>
        </w:rPr>
        <w:t>过程中富集环境中的镉元素所致。</w:t>
      </w:r>
      <w:bookmarkStart w:id="2" w:name="_GoBack"/>
      <w:bookmarkEnd w:id="2"/>
    </w:p>
    <w:sectPr w:rsidR="0008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785E"/>
    <w:multiLevelType w:val="singleLevel"/>
    <w:tmpl w:val="2A9F78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19"/>
    <w:rsid w:val="000838DF"/>
    <w:rsid w:val="000A2918"/>
    <w:rsid w:val="000E7686"/>
    <w:rsid w:val="00130919"/>
    <w:rsid w:val="00207D45"/>
    <w:rsid w:val="00237988"/>
    <w:rsid w:val="00335513"/>
    <w:rsid w:val="00370703"/>
    <w:rsid w:val="00382445"/>
    <w:rsid w:val="003C2242"/>
    <w:rsid w:val="003E657A"/>
    <w:rsid w:val="003F75EA"/>
    <w:rsid w:val="00450761"/>
    <w:rsid w:val="005773E0"/>
    <w:rsid w:val="005A1FF0"/>
    <w:rsid w:val="0065267D"/>
    <w:rsid w:val="006779DF"/>
    <w:rsid w:val="00747D84"/>
    <w:rsid w:val="00752838"/>
    <w:rsid w:val="00754DCA"/>
    <w:rsid w:val="00762BBD"/>
    <w:rsid w:val="007E0459"/>
    <w:rsid w:val="007F61E5"/>
    <w:rsid w:val="00803020"/>
    <w:rsid w:val="00840D87"/>
    <w:rsid w:val="00873325"/>
    <w:rsid w:val="009A4AB4"/>
    <w:rsid w:val="00A0553A"/>
    <w:rsid w:val="00A21868"/>
    <w:rsid w:val="00AD103C"/>
    <w:rsid w:val="00AD7234"/>
    <w:rsid w:val="00BA63D0"/>
    <w:rsid w:val="00C15B37"/>
    <w:rsid w:val="00C86FC8"/>
    <w:rsid w:val="00CF248D"/>
    <w:rsid w:val="00CF6F2C"/>
    <w:rsid w:val="00D20410"/>
    <w:rsid w:val="00D22B89"/>
    <w:rsid w:val="00DF341E"/>
    <w:rsid w:val="00E80E11"/>
    <w:rsid w:val="00E877FA"/>
    <w:rsid w:val="00EA0A03"/>
    <w:rsid w:val="00EB4C80"/>
    <w:rsid w:val="00EF6D57"/>
    <w:rsid w:val="00F86879"/>
    <w:rsid w:val="00F93499"/>
    <w:rsid w:val="0EB93EF0"/>
    <w:rsid w:val="12F67C1E"/>
    <w:rsid w:val="162C2D81"/>
    <w:rsid w:val="1B760714"/>
    <w:rsid w:val="264B18EE"/>
    <w:rsid w:val="31BA0288"/>
    <w:rsid w:val="3B1125A2"/>
    <w:rsid w:val="3DBD71FF"/>
    <w:rsid w:val="40C80381"/>
    <w:rsid w:val="49DB450D"/>
    <w:rsid w:val="4BB16060"/>
    <w:rsid w:val="5534741F"/>
    <w:rsid w:val="55E251B5"/>
    <w:rsid w:val="596D4F46"/>
    <w:rsid w:val="5A4F16C1"/>
    <w:rsid w:val="5CA63AD6"/>
    <w:rsid w:val="5E2C6B0D"/>
    <w:rsid w:val="61FB29CA"/>
    <w:rsid w:val="62080B69"/>
    <w:rsid w:val="63B10DE2"/>
    <w:rsid w:val="66111E46"/>
    <w:rsid w:val="693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A6DFDE-8E5D-4FB9-9037-71D3FA53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2021-07-02T01:08:00Z</dcterms:created>
  <dcterms:modified xsi:type="dcterms:W3CDTF">2021-08-24T08:00:00Z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5B689648ECB44EF38C10827812186B7C</vt:lpwstr>
  </property>
</Properties>
</file>