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14732" w14:textId="77777777" w:rsidR="00094095" w:rsidRPr="00D053EB" w:rsidRDefault="00094095" w:rsidP="00094095">
      <w:pPr>
        <w:spacing w:line="440" w:lineRule="exact"/>
        <w:jc w:val="center"/>
        <w:rPr>
          <w:rFonts w:ascii="黑体" w:eastAsia="黑体" w:hAnsi="Times New Roman"/>
          <w:sz w:val="30"/>
          <w:szCs w:val="30"/>
        </w:rPr>
      </w:pPr>
      <w:r w:rsidRPr="00D053EB">
        <w:rPr>
          <w:rFonts w:ascii="黑体" w:eastAsia="黑体" w:hAnsi="Times New Roman" w:hint="eastAsia"/>
          <w:sz w:val="30"/>
          <w:szCs w:val="30"/>
        </w:rPr>
        <w:t>经营者集中简易案件公示表</w:t>
      </w:r>
    </w:p>
    <w:p w14:paraId="7E652A31" w14:textId="77777777" w:rsidR="00094095" w:rsidRPr="00D053EB" w:rsidRDefault="00094095" w:rsidP="00094095">
      <w:pPr>
        <w:spacing w:line="440" w:lineRule="exact"/>
        <w:rPr>
          <w:rFonts w:ascii="黑体" w:eastAsia="黑体"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5153"/>
      </w:tblGrid>
      <w:tr w:rsidR="00D053EB" w:rsidRPr="00D053EB" w14:paraId="73F685D3" w14:textId="77777777" w:rsidTr="000E149B">
        <w:tc>
          <w:tcPr>
            <w:tcW w:w="1809" w:type="dxa"/>
            <w:shd w:val="clear" w:color="auto" w:fill="D9D9D9"/>
          </w:tcPr>
          <w:p w14:paraId="0A10A2A0"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案件名称</w:t>
            </w:r>
          </w:p>
        </w:tc>
        <w:tc>
          <w:tcPr>
            <w:tcW w:w="6949" w:type="dxa"/>
            <w:gridSpan w:val="2"/>
            <w:vAlign w:val="center"/>
          </w:tcPr>
          <w:p w14:paraId="3B3B7B50" w14:textId="67D9A9A0" w:rsidR="00832D75" w:rsidRPr="00D053EB" w:rsidRDefault="00D053EB" w:rsidP="004F66FD">
            <w:pPr>
              <w:widowControl/>
              <w:snapToGrid w:val="0"/>
              <w:rPr>
                <w:rFonts w:ascii="仿宋_GB2312" w:eastAsia="仿宋_GB2312" w:hAnsi="Times New Roman"/>
                <w:sz w:val="28"/>
                <w:szCs w:val="28"/>
              </w:rPr>
            </w:pPr>
            <w:r w:rsidRPr="00D053EB">
              <w:rPr>
                <w:rFonts w:ascii="仿宋_GB2312" w:eastAsia="仿宋_GB2312" w:hAnsi="Times New Roman" w:hint="eastAsia"/>
                <w:sz w:val="28"/>
                <w:szCs w:val="28"/>
              </w:rPr>
              <w:t>北京国科新里程医院管理有限公司收购北京弘慈医疗投资管理有限公司股权案</w:t>
            </w:r>
          </w:p>
        </w:tc>
      </w:tr>
      <w:tr w:rsidR="00D053EB" w:rsidRPr="00D053EB" w14:paraId="60B5E0C7" w14:textId="77777777" w:rsidTr="002F2D60">
        <w:trPr>
          <w:trHeight w:val="993"/>
        </w:trPr>
        <w:tc>
          <w:tcPr>
            <w:tcW w:w="1809" w:type="dxa"/>
            <w:shd w:val="clear" w:color="auto" w:fill="D9D9D9"/>
          </w:tcPr>
          <w:p w14:paraId="5378E0B8"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交易概况（限200字内）</w:t>
            </w:r>
          </w:p>
        </w:tc>
        <w:tc>
          <w:tcPr>
            <w:tcW w:w="6949" w:type="dxa"/>
            <w:gridSpan w:val="2"/>
          </w:tcPr>
          <w:p w14:paraId="5F51D06D" w14:textId="3C4935D5" w:rsidR="00BA6062" w:rsidRPr="00D053EB" w:rsidRDefault="00BA6062" w:rsidP="00895A29">
            <w:pPr>
              <w:spacing w:line="500" w:lineRule="exact"/>
              <w:rPr>
                <w:rFonts w:ascii="仿宋_GB2312" w:eastAsia="仿宋_GB2312" w:hAnsi="Times New Roman"/>
                <w:sz w:val="28"/>
                <w:szCs w:val="28"/>
              </w:rPr>
            </w:pPr>
            <w:bookmarkStart w:id="0" w:name="OLE_LINK33"/>
            <w:bookmarkStart w:id="1" w:name="OLE_LINK34"/>
            <w:r w:rsidRPr="00D053EB">
              <w:rPr>
                <w:rFonts w:ascii="仿宋_GB2312" w:eastAsia="仿宋_GB2312" w:hAnsi="Times New Roman" w:hint="eastAsia"/>
                <w:sz w:val="28"/>
                <w:szCs w:val="28"/>
              </w:rPr>
              <w:t>北京国科新里程医院管理有限公司</w:t>
            </w:r>
            <w:bookmarkEnd w:id="0"/>
            <w:bookmarkEnd w:id="1"/>
            <w:r w:rsidRPr="00D053EB">
              <w:rPr>
                <w:rFonts w:ascii="仿宋_GB2312" w:eastAsia="仿宋_GB2312" w:hAnsi="Times New Roman" w:hint="eastAsia"/>
                <w:sz w:val="28"/>
                <w:szCs w:val="28"/>
              </w:rPr>
              <w:t>（“国科新里程”）</w:t>
            </w:r>
            <w:r w:rsidR="000E181C">
              <w:rPr>
                <w:rFonts w:ascii="仿宋_GB2312" w:eastAsia="仿宋_GB2312" w:hAnsi="Times New Roman" w:hint="eastAsia"/>
                <w:sz w:val="28"/>
                <w:szCs w:val="28"/>
              </w:rPr>
              <w:t>、</w:t>
            </w:r>
            <w:r w:rsidR="000E181C" w:rsidRPr="000E181C">
              <w:rPr>
                <w:rFonts w:ascii="仿宋_GB2312" w:eastAsia="仿宋_GB2312" w:hAnsi="Times New Roman" w:hint="eastAsia"/>
                <w:sz w:val="28"/>
                <w:szCs w:val="28"/>
              </w:rPr>
              <w:t>新里程（天津）健康产业投资中心（有限合伙）</w:t>
            </w:r>
            <w:r w:rsidR="000B0B0C">
              <w:rPr>
                <w:rFonts w:ascii="仿宋_GB2312" w:eastAsia="仿宋_GB2312" w:hAnsi="Times New Roman" w:hint="eastAsia"/>
                <w:sz w:val="28"/>
                <w:szCs w:val="28"/>
              </w:rPr>
              <w:t>（“新里程天津”）</w:t>
            </w:r>
            <w:r w:rsidRPr="00D053EB">
              <w:rPr>
                <w:rFonts w:ascii="仿宋_GB2312" w:eastAsia="仿宋_GB2312" w:hAnsi="Times New Roman" w:hint="eastAsia"/>
                <w:sz w:val="28"/>
                <w:szCs w:val="28"/>
              </w:rPr>
              <w:t>与北京弘慈医疗投资管理有限公司（“弘慈医疗”）</w:t>
            </w:r>
            <w:r w:rsidR="00B4388B">
              <w:rPr>
                <w:rFonts w:ascii="仿宋_GB2312" w:eastAsia="仿宋_GB2312" w:hAnsi="Times New Roman" w:hint="eastAsia"/>
                <w:sz w:val="28"/>
                <w:szCs w:val="28"/>
              </w:rPr>
              <w:t>及其原股东</w:t>
            </w:r>
            <w:r w:rsidRPr="00D053EB">
              <w:rPr>
                <w:rFonts w:ascii="仿宋_GB2312" w:eastAsia="仿宋_GB2312" w:hAnsi="Times New Roman" w:hint="eastAsia"/>
                <w:sz w:val="28"/>
                <w:szCs w:val="28"/>
              </w:rPr>
              <w:t>签署了</w:t>
            </w:r>
            <w:r w:rsidRPr="00D053EB">
              <w:rPr>
                <w:rFonts w:ascii="仿宋_GB2312" w:eastAsia="仿宋_GB2312" w:hAnsi="Times New Roman"/>
                <w:sz w:val="28"/>
                <w:szCs w:val="28"/>
              </w:rPr>
              <w:t>《股权转让协议》</w:t>
            </w:r>
            <w:r w:rsidRPr="00D053EB">
              <w:rPr>
                <w:rFonts w:ascii="仿宋_GB2312" w:eastAsia="仿宋_GB2312" w:hAnsi="Times New Roman" w:hint="eastAsia"/>
                <w:sz w:val="28"/>
                <w:szCs w:val="28"/>
              </w:rPr>
              <w:t>。根据该协议，国科新里程</w:t>
            </w:r>
            <w:r w:rsidR="000E181C">
              <w:rPr>
                <w:rFonts w:ascii="仿宋_GB2312" w:eastAsia="仿宋_GB2312" w:hAnsi="Times New Roman" w:hint="eastAsia"/>
                <w:sz w:val="28"/>
                <w:szCs w:val="28"/>
              </w:rPr>
              <w:t>和</w:t>
            </w:r>
            <w:r w:rsidR="00F149BE">
              <w:rPr>
                <w:rFonts w:ascii="仿宋_GB2312" w:eastAsia="仿宋_GB2312" w:hAnsi="Times New Roman" w:hint="eastAsia"/>
                <w:sz w:val="28"/>
                <w:szCs w:val="28"/>
              </w:rPr>
              <w:t>新里程天津</w:t>
            </w:r>
            <w:r w:rsidRPr="00D053EB">
              <w:rPr>
                <w:rFonts w:ascii="仿宋_GB2312" w:eastAsia="仿宋_GB2312" w:hAnsi="Times New Roman" w:hint="eastAsia"/>
                <w:sz w:val="28"/>
                <w:szCs w:val="28"/>
              </w:rPr>
              <w:t>将通过收购方式</w:t>
            </w:r>
            <w:r w:rsidR="00F149BE">
              <w:rPr>
                <w:rFonts w:ascii="仿宋_GB2312" w:eastAsia="仿宋_GB2312" w:hAnsi="Times New Roman" w:hint="eastAsia"/>
                <w:sz w:val="28"/>
                <w:szCs w:val="28"/>
              </w:rPr>
              <w:t>分别</w:t>
            </w:r>
            <w:r w:rsidRPr="00D053EB">
              <w:rPr>
                <w:rFonts w:ascii="仿宋_GB2312" w:eastAsia="仿宋_GB2312" w:hAnsi="Times New Roman" w:hint="eastAsia"/>
                <w:sz w:val="28"/>
                <w:szCs w:val="28"/>
              </w:rPr>
              <w:t>取得</w:t>
            </w:r>
            <w:proofErr w:type="gramStart"/>
            <w:r w:rsidRPr="00D053EB">
              <w:rPr>
                <w:rFonts w:ascii="仿宋_GB2312" w:eastAsia="仿宋_GB2312" w:hAnsi="Times New Roman" w:hint="eastAsia"/>
                <w:sz w:val="28"/>
                <w:szCs w:val="28"/>
              </w:rPr>
              <w:t>弘慈医疗</w:t>
            </w:r>
            <w:proofErr w:type="gramEnd"/>
            <w:r w:rsidRPr="00D053EB">
              <w:rPr>
                <w:rFonts w:ascii="仿宋_GB2312" w:eastAsia="仿宋_GB2312" w:hAnsi="Times New Roman" w:hint="eastAsia"/>
                <w:sz w:val="28"/>
                <w:szCs w:val="28"/>
              </w:rPr>
              <w:t>7</w:t>
            </w:r>
            <w:r w:rsidRPr="00D053EB">
              <w:rPr>
                <w:rFonts w:ascii="仿宋_GB2312" w:eastAsia="仿宋_GB2312" w:hAnsi="Times New Roman"/>
                <w:sz w:val="28"/>
                <w:szCs w:val="28"/>
              </w:rPr>
              <w:t>0%</w:t>
            </w:r>
            <w:r w:rsidR="00F149BE">
              <w:rPr>
                <w:rFonts w:ascii="仿宋_GB2312" w:eastAsia="仿宋_GB2312" w:hAnsi="Times New Roman" w:hint="eastAsia"/>
                <w:sz w:val="28"/>
                <w:szCs w:val="28"/>
              </w:rPr>
              <w:t>和3</w:t>
            </w:r>
            <w:r w:rsidR="00F149BE">
              <w:rPr>
                <w:rFonts w:ascii="仿宋_GB2312" w:eastAsia="仿宋_GB2312" w:hAnsi="Times New Roman"/>
                <w:sz w:val="28"/>
                <w:szCs w:val="28"/>
              </w:rPr>
              <w:t>0</w:t>
            </w:r>
            <w:r w:rsidR="00F149BE">
              <w:rPr>
                <w:rFonts w:ascii="仿宋_GB2312" w:eastAsia="仿宋_GB2312" w:hAnsi="Times New Roman" w:hint="eastAsia"/>
                <w:sz w:val="28"/>
                <w:szCs w:val="28"/>
              </w:rPr>
              <w:t>%</w:t>
            </w:r>
            <w:r w:rsidRPr="00D053EB">
              <w:rPr>
                <w:rFonts w:ascii="仿宋_GB2312" w:eastAsia="仿宋_GB2312" w:hAnsi="Times New Roman" w:hint="eastAsia"/>
                <w:sz w:val="28"/>
                <w:szCs w:val="28"/>
              </w:rPr>
              <w:t>的股权。本次交易后，</w:t>
            </w:r>
            <w:proofErr w:type="gramStart"/>
            <w:r w:rsidRPr="00D053EB">
              <w:rPr>
                <w:rFonts w:ascii="仿宋_GB2312" w:eastAsia="仿宋_GB2312" w:hAnsi="Times New Roman" w:hint="eastAsia"/>
                <w:sz w:val="28"/>
                <w:szCs w:val="28"/>
              </w:rPr>
              <w:t>弘慈医疗</w:t>
            </w:r>
            <w:proofErr w:type="gramEnd"/>
            <w:r w:rsidRPr="00D053EB">
              <w:rPr>
                <w:rFonts w:ascii="仿宋_GB2312" w:eastAsia="仿宋_GB2312" w:hAnsi="Times New Roman" w:hint="eastAsia"/>
                <w:sz w:val="28"/>
                <w:szCs w:val="28"/>
              </w:rPr>
              <w:t>将由国科新里程</w:t>
            </w:r>
            <w:r w:rsidR="008D5452" w:rsidRPr="00D053EB">
              <w:rPr>
                <w:rFonts w:ascii="仿宋_GB2312" w:eastAsia="仿宋_GB2312" w:hAnsi="Times New Roman" w:hint="eastAsia"/>
                <w:sz w:val="28"/>
                <w:szCs w:val="28"/>
              </w:rPr>
              <w:t>单独</w:t>
            </w:r>
            <w:r w:rsidRPr="00D053EB">
              <w:rPr>
                <w:rFonts w:ascii="仿宋_GB2312" w:eastAsia="仿宋_GB2312" w:hAnsi="Times New Roman" w:hint="eastAsia"/>
                <w:sz w:val="28"/>
                <w:szCs w:val="28"/>
              </w:rPr>
              <w:t>控制。</w:t>
            </w:r>
          </w:p>
        </w:tc>
      </w:tr>
      <w:tr w:rsidR="00D053EB" w:rsidRPr="00D053EB" w14:paraId="114A1DF9" w14:textId="77777777" w:rsidTr="002F2D60">
        <w:trPr>
          <w:trHeight w:val="468"/>
        </w:trPr>
        <w:tc>
          <w:tcPr>
            <w:tcW w:w="1809" w:type="dxa"/>
            <w:vMerge w:val="restart"/>
            <w:shd w:val="clear" w:color="auto" w:fill="D9D9D9"/>
          </w:tcPr>
          <w:p w14:paraId="3C7D23CF" w14:textId="77777777" w:rsidR="00352F03" w:rsidRPr="00D053EB" w:rsidRDefault="00352F03"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参与集中的经营者简介</w:t>
            </w:r>
          </w:p>
        </w:tc>
        <w:tc>
          <w:tcPr>
            <w:tcW w:w="1796" w:type="dxa"/>
          </w:tcPr>
          <w:p w14:paraId="27D39D29" w14:textId="1C9AC6A4" w:rsidR="00352F03" w:rsidRPr="00D053EB" w:rsidRDefault="00352F03" w:rsidP="008231D7">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1、</w:t>
            </w:r>
            <w:r w:rsidR="000B03C7" w:rsidRPr="00D053EB">
              <w:rPr>
                <w:rFonts w:ascii="仿宋_GB2312" w:eastAsia="仿宋_GB2312" w:hAnsi="Times New Roman" w:hint="eastAsia"/>
                <w:sz w:val="28"/>
                <w:szCs w:val="28"/>
              </w:rPr>
              <w:t>北京国科新里程医院管理有限公司</w:t>
            </w:r>
          </w:p>
        </w:tc>
        <w:tc>
          <w:tcPr>
            <w:tcW w:w="5153" w:type="dxa"/>
          </w:tcPr>
          <w:p w14:paraId="012C0861" w14:textId="3CEF2386" w:rsidR="00352F03" w:rsidRPr="00D053EB" w:rsidRDefault="000B03C7" w:rsidP="00113567">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国科新里程是一家成立于2015年的有限责任公司，主要</w:t>
            </w:r>
            <w:bookmarkStart w:id="2" w:name="OLE_LINK39"/>
            <w:bookmarkStart w:id="3" w:name="OLE_LINK40"/>
            <w:r w:rsidRPr="00D053EB">
              <w:rPr>
                <w:rFonts w:ascii="仿宋_GB2312" w:eastAsia="仿宋_GB2312" w:hAnsi="Times New Roman" w:hint="eastAsia"/>
                <w:sz w:val="28"/>
                <w:szCs w:val="28"/>
              </w:rPr>
              <w:t>业务</w:t>
            </w:r>
            <w:bookmarkEnd w:id="2"/>
            <w:bookmarkEnd w:id="3"/>
            <w:r w:rsidR="004128EE">
              <w:rPr>
                <w:rFonts w:ascii="仿宋_GB2312" w:eastAsia="仿宋_GB2312" w:hAnsi="Times New Roman" w:hint="eastAsia"/>
                <w:sz w:val="28"/>
                <w:szCs w:val="28"/>
              </w:rPr>
              <w:t>是在</w:t>
            </w:r>
            <w:r w:rsidR="00473D54" w:rsidRPr="00D053EB">
              <w:rPr>
                <w:rFonts w:ascii="仿宋_GB2312" w:eastAsia="仿宋_GB2312" w:hAnsi="Times New Roman" w:hint="eastAsia"/>
                <w:sz w:val="28"/>
                <w:szCs w:val="28"/>
              </w:rPr>
              <w:t>中国境内</w:t>
            </w:r>
            <w:r w:rsidR="004128EE">
              <w:rPr>
                <w:rFonts w:ascii="仿宋_GB2312" w:eastAsia="仿宋_GB2312" w:hAnsi="Times New Roman" w:hint="eastAsia"/>
                <w:sz w:val="28"/>
                <w:szCs w:val="28"/>
              </w:rPr>
              <w:t>开展</w:t>
            </w:r>
            <w:r w:rsidRPr="00D053EB">
              <w:rPr>
                <w:rFonts w:ascii="仿宋_GB2312" w:eastAsia="仿宋_GB2312" w:hAnsi="Times New Roman" w:hint="eastAsia"/>
                <w:sz w:val="28"/>
                <w:szCs w:val="28"/>
              </w:rPr>
              <w:t>综合医院医疗服务</w:t>
            </w:r>
            <w:r w:rsidR="00113567" w:rsidRPr="00D053EB">
              <w:rPr>
                <w:rFonts w:ascii="仿宋_GB2312" w:eastAsia="仿宋_GB2312" w:hAnsi="Times New Roman" w:hint="eastAsia"/>
                <w:sz w:val="28"/>
                <w:szCs w:val="28"/>
              </w:rPr>
              <w:t>。</w:t>
            </w:r>
          </w:p>
        </w:tc>
      </w:tr>
      <w:tr w:rsidR="00D053EB" w:rsidRPr="00D053EB" w14:paraId="77B0200A" w14:textId="77777777" w:rsidTr="002F2D60">
        <w:trPr>
          <w:trHeight w:val="404"/>
        </w:trPr>
        <w:tc>
          <w:tcPr>
            <w:tcW w:w="1809" w:type="dxa"/>
            <w:vMerge/>
            <w:shd w:val="clear" w:color="auto" w:fill="D9D9D9"/>
          </w:tcPr>
          <w:p w14:paraId="636C9DCA" w14:textId="77777777" w:rsidR="00352F03" w:rsidRPr="00D053EB" w:rsidRDefault="00352F03" w:rsidP="002F2D60">
            <w:pPr>
              <w:spacing w:line="500" w:lineRule="exact"/>
              <w:rPr>
                <w:rFonts w:ascii="仿宋_GB2312" w:eastAsia="仿宋_GB2312" w:hAnsi="Times New Roman"/>
                <w:sz w:val="28"/>
                <w:szCs w:val="28"/>
              </w:rPr>
            </w:pPr>
          </w:p>
        </w:tc>
        <w:tc>
          <w:tcPr>
            <w:tcW w:w="1796" w:type="dxa"/>
          </w:tcPr>
          <w:p w14:paraId="58EE4CE6" w14:textId="3F219FD7" w:rsidR="00352F03" w:rsidRPr="00D053EB" w:rsidRDefault="00352F03" w:rsidP="00455D25">
            <w:pPr>
              <w:spacing w:line="500" w:lineRule="exact"/>
              <w:rPr>
                <w:rFonts w:asciiTheme="minorHAnsi" w:eastAsia="仿宋_GB2312" w:hAnsiTheme="minorHAnsi"/>
                <w:sz w:val="28"/>
                <w:szCs w:val="28"/>
              </w:rPr>
            </w:pPr>
            <w:r w:rsidRPr="00D053EB">
              <w:rPr>
                <w:rFonts w:ascii="仿宋_GB2312" w:eastAsia="仿宋_GB2312" w:hAnsi="Times New Roman" w:hint="eastAsia"/>
                <w:sz w:val="28"/>
                <w:szCs w:val="28"/>
              </w:rPr>
              <w:t>2、</w:t>
            </w:r>
            <w:r w:rsidR="00473D54" w:rsidRPr="00D053EB">
              <w:rPr>
                <w:rFonts w:ascii="仿宋_GB2312" w:eastAsia="仿宋_GB2312" w:hAnsi="Times New Roman" w:hint="eastAsia"/>
                <w:sz w:val="28"/>
                <w:szCs w:val="28"/>
              </w:rPr>
              <w:t>北京弘慈医疗投资管理有限公司</w:t>
            </w:r>
          </w:p>
        </w:tc>
        <w:tc>
          <w:tcPr>
            <w:tcW w:w="5153" w:type="dxa"/>
          </w:tcPr>
          <w:p w14:paraId="4908F51C" w14:textId="5704E044" w:rsidR="00352F03" w:rsidRPr="00D053EB" w:rsidRDefault="00473D54" w:rsidP="00E47FAD">
            <w:pPr>
              <w:spacing w:line="500" w:lineRule="exact"/>
              <w:rPr>
                <w:rFonts w:ascii="仿宋_GB2312" w:eastAsia="仿宋_GB2312" w:hAnsi="Times New Roman"/>
                <w:sz w:val="28"/>
                <w:szCs w:val="28"/>
              </w:rPr>
            </w:pPr>
            <w:bookmarkStart w:id="4" w:name="OLE_LINK41"/>
            <w:bookmarkStart w:id="5" w:name="OLE_LINK42"/>
            <w:proofErr w:type="gramStart"/>
            <w:r w:rsidRPr="00D053EB">
              <w:rPr>
                <w:rFonts w:ascii="仿宋_GB2312" w:eastAsia="仿宋_GB2312" w:hAnsi="Times New Roman" w:hint="eastAsia"/>
                <w:sz w:val="28"/>
                <w:szCs w:val="28"/>
              </w:rPr>
              <w:t>弘慈医疗</w:t>
            </w:r>
            <w:bookmarkEnd w:id="4"/>
            <w:bookmarkEnd w:id="5"/>
            <w:proofErr w:type="gramEnd"/>
            <w:r w:rsidRPr="00D053EB">
              <w:rPr>
                <w:rFonts w:ascii="仿宋_GB2312" w:eastAsia="仿宋_GB2312" w:hAnsi="Times New Roman" w:hint="eastAsia"/>
                <w:sz w:val="28"/>
                <w:szCs w:val="28"/>
              </w:rPr>
              <w:t>是一家成立于201</w:t>
            </w:r>
            <w:r w:rsidR="001D19A8" w:rsidRPr="00D053EB">
              <w:rPr>
                <w:rFonts w:ascii="仿宋_GB2312" w:eastAsia="仿宋_GB2312" w:hAnsi="Times New Roman"/>
                <w:sz w:val="28"/>
                <w:szCs w:val="28"/>
              </w:rPr>
              <w:t>3</w:t>
            </w:r>
            <w:r w:rsidRPr="00D053EB">
              <w:rPr>
                <w:rFonts w:ascii="仿宋_GB2312" w:eastAsia="仿宋_GB2312" w:hAnsi="Times New Roman" w:hint="eastAsia"/>
                <w:sz w:val="28"/>
                <w:szCs w:val="28"/>
              </w:rPr>
              <w:t>年的有限责任公司，主要</w:t>
            </w:r>
            <w:r w:rsidR="00FF23A9" w:rsidRPr="00D053EB">
              <w:rPr>
                <w:rFonts w:ascii="仿宋_GB2312" w:eastAsia="仿宋_GB2312" w:hAnsi="Times New Roman" w:hint="eastAsia"/>
                <w:sz w:val="28"/>
                <w:szCs w:val="28"/>
              </w:rPr>
              <w:t>业务</w:t>
            </w:r>
            <w:r w:rsidR="004128EE">
              <w:rPr>
                <w:rFonts w:ascii="仿宋_GB2312" w:eastAsia="仿宋_GB2312" w:hAnsi="Times New Roman" w:hint="eastAsia"/>
                <w:sz w:val="28"/>
                <w:szCs w:val="28"/>
              </w:rPr>
              <w:t>是在</w:t>
            </w:r>
            <w:r w:rsidRPr="00D053EB">
              <w:rPr>
                <w:rFonts w:ascii="仿宋_GB2312" w:eastAsia="仿宋_GB2312" w:hAnsi="Times New Roman" w:hint="eastAsia"/>
                <w:sz w:val="28"/>
                <w:szCs w:val="28"/>
              </w:rPr>
              <w:t>中国境内</w:t>
            </w:r>
            <w:r w:rsidR="004128EE">
              <w:rPr>
                <w:rFonts w:ascii="仿宋_GB2312" w:eastAsia="仿宋_GB2312" w:hAnsi="Times New Roman" w:hint="eastAsia"/>
                <w:sz w:val="28"/>
                <w:szCs w:val="28"/>
              </w:rPr>
              <w:t>开展</w:t>
            </w:r>
            <w:r w:rsidRPr="00D053EB">
              <w:rPr>
                <w:rFonts w:ascii="仿宋_GB2312" w:eastAsia="仿宋_GB2312" w:hAnsi="Times New Roman" w:hint="eastAsia"/>
                <w:sz w:val="28"/>
                <w:szCs w:val="28"/>
              </w:rPr>
              <w:t>综合医院医疗服务</w:t>
            </w:r>
            <w:r w:rsidR="00113567" w:rsidRPr="00D053EB">
              <w:rPr>
                <w:rFonts w:ascii="仿宋_GB2312" w:eastAsia="仿宋_GB2312" w:hAnsi="Times New Roman" w:hint="eastAsia"/>
                <w:sz w:val="28"/>
                <w:szCs w:val="28"/>
              </w:rPr>
              <w:t>。</w:t>
            </w:r>
          </w:p>
        </w:tc>
      </w:tr>
      <w:tr w:rsidR="00D053EB" w:rsidRPr="00D053EB" w14:paraId="7C0B5E86" w14:textId="77777777" w:rsidTr="002F2D60">
        <w:trPr>
          <w:trHeight w:val="279"/>
        </w:trPr>
        <w:tc>
          <w:tcPr>
            <w:tcW w:w="1809" w:type="dxa"/>
            <w:vMerge w:val="restart"/>
            <w:shd w:val="clear" w:color="auto" w:fill="D9D9D9"/>
          </w:tcPr>
          <w:p w14:paraId="656C56C2" w14:textId="77777777" w:rsidR="00832D75" w:rsidRPr="00D053EB" w:rsidRDefault="00832D75" w:rsidP="00BB2377">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简易案件理由（可以单选，也可以多选）</w:t>
            </w:r>
          </w:p>
        </w:tc>
        <w:tc>
          <w:tcPr>
            <w:tcW w:w="6949" w:type="dxa"/>
            <w:gridSpan w:val="2"/>
          </w:tcPr>
          <w:p w14:paraId="0849388E" w14:textId="77777777" w:rsidR="00832D75" w:rsidRPr="00D053EB" w:rsidRDefault="00832D75" w:rsidP="001205CE">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sym w:font="Wingdings" w:char="F0FE"/>
            </w:r>
            <w:r w:rsidRPr="00D053EB">
              <w:rPr>
                <w:rFonts w:ascii="仿宋_GB2312" w:eastAsia="仿宋_GB2312" w:hAnsi="Times New Roman" w:hint="eastAsia"/>
                <w:sz w:val="28"/>
                <w:szCs w:val="28"/>
              </w:rPr>
              <w:t>1、在同一相关市场，所有参与集中的经营者所占市场份额之和小于15%。</w:t>
            </w:r>
          </w:p>
        </w:tc>
      </w:tr>
      <w:tr w:rsidR="00D053EB" w:rsidRPr="00D053EB" w14:paraId="4A1929CE" w14:textId="77777777" w:rsidTr="002F2D60">
        <w:trPr>
          <w:trHeight w:val="330"/>
        </w:trPr>
        <w:tc>
          <w:tcPr>
            <w:tcW w:w="1809" w:type="dxa"/>
            <w:vMerge/>
            <w:shd w:val="clear" w:color="auto" w:fill="D9D9D9"/>
          </w:tcPr>
          <w:p w14:paraId="5B362AB2" w14:textId="77777777" w:rsidR="00832D75" w:rsidRPr="00D053EB" w:rsidRDefault="00832D75" w:rsidP="002F2D60">
            <w:pPr>
              <w:spacing w:line="500" w:lineRule="exact"/>
              <w:rPr>
                <w:rFonts w:ascii="仿宋_GB2312" w:eastAsia="仿宋_GB2312" w:hAnsi="Times New Roman"/>
                <w:sz w:val="28"/>
                <w:szCs w:val="28"/>
              </w:rPr>
            </w:pPr>
          </w:p>
        </w:tc>
        <w:tc>
          <w:tcPr>
            <w:tcW w:w="6949" w:type="dxa"/>
            <w:gridSpan w:val="2"/>
          </w:tcPr>
          <w:p w14:paraId="4810DDC8" w14:textId="01ABACC5" w:rsidR="00832D75" w:rsidRPr="00D053EB" w:rsidRDefault="00686BB7" w:rsidP="00310057">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w:t>
            </w:r>
            <w:r w:rsidR="00832D75" w:rsidRPr="00D053EB">
              <w:rPr>
                <w:rFonts w:ascii="仿宋_GB2312" w:eastAsia="仿宋_GB2312" w:hAnsi="Times New Roman" w:hint="eastAsia"/>
                <w:sz w:val="28"/>
                <w:szCs w:val="28"/>
              </w:rPr>
              <w:t>2、存在上下游关系的参与集中的经营者，在上下游市场所占的市场份额均小于25%。</w:t>
            </w:r>
          </w:p>
        </w:tc>
      </w:tr>
      <w:tr w:rsidR="00D053EB" w:rsidRPr="00D053EB" w14:paraId="79C2D3CE" w14:textId="77777777" w:rsidTr="002F2D60">
        <w:trPr>
          <w:trHeight w:val="285"/>
        </w:trPr>
        <w:tc>
          <w:tcPr>
            <w:tcW w:w="1809" w:type="dxa"/>
            <w:vMerge/>
            <w:shd w:val="clear" w:color="auto" w:fill="D9D9D9"/>
          </w:tcPr>
          <w:p w14:paraId="4265B01C" w14:textId="77777777" w:rsidR="00832D75" w:rsidRPr="00D053EB" w:rsidRDefault="00832D75" w:rsidP="002F2D60">
            <w:pPr>
              <w:spacing w:line="500" w:lineRule="exact"/>
              <w:rPr>
                <w:rFonts w:ascii="仿宋_GB2312" w:eastAsia="仿宋_GB2312" w:hAnsi="Times New Roman"/>
                <w:sz w:val="28"/>
                <w:szCs w:val="28"/>
              </w:rPr>
            </w:pPr>
          </w:p>
        </w:tc>
        <w:tc>
          <w:tcPr>
            <w:tcW w:w="6949" w:type="dxa"/>
            <w:gridSpan w:val="2"/>
          </w:tcPr>
          <w:p w14:paraId="5221E7B4" w14:textId="3329F893" w:rsidR="00832D75" w:rsidRPr="00D053EB" w:rsidRDefault="00913BD4"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w:t>
            </w:r>
            <w:r w:rsidR="00832D75" w:rsidRPr="00D053EB">
              <w:rPr>
                <w:rFonts w:ascii="仿宋_GB2312" w:eastAsia="仿宋_GB2312" w:hAnsi="Times New Roman" w:hint="eastAsia"/>
                <w:sz w:val="28"/>
                <w:szCs w:val="28"/>
              </w:rPr>
              <w:t>3、不在同一相关市场、也不存在上下游关系的参与集中的经营者，在与交易有关的每个市场所占的份额均小于25%。</w:t>
            </w:r>
          </w:p>
        </w:tc>
      </w:tr>
      <w:tr w:rsidR="00D053EB" w:rsidRPr="00D053EB" w14:paraId="201A04E5" w14:textId="77777777" w:rsidTr="002F2D60">
        <w:trPr>
          <w:trHeight w:val="870"/>
        </w:trPr>
        <w:tc>
          <w:tcPr>
            <w:tcW w:w="1809" w:type="dxa"/>
            <w:vMerge/>
            <w:shd w:val="clear" w:color="auto" w:fill="D9D9D9"/>
          </w:tcPr>
          <w:p w14:paraId="424489DC" w14:textId="77777777" w:rsidR="00832D75" w:rsidRPr="00D053EB" w:rsidRDefault="00832D75" w:rsidP="002F2D60">
            <w:pPr>
              <w:spacing w:line="500" w:lineRule="exact"/>
              <w:rPr>
                <w:rFonts w:ascii="仿宋_GB2312" w:eastAsia="仿宋_GB2312" w:hAnsi="Times New Roman"/>
                <w:sz w:val="28"/>
                <w:szCs w:val="28"/>
              </w:rPr>
            </w:pPr>
          </w:p>
        </w:tc>
        <w:tc>
          <w:tcPr>
            <w:tcW w:w="6949" w:type="dxa"/>
            <w:gridSpan w:val="2"/>
          </w:tcPr>
          <w:p w14:paraId="5A6998DC"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□4、参与集中的经营者在中国境外设立合营企业，合营企业不在中国境内从事经济活动。</w:t>
            </w:r>
          </w:p>
        </w:tc>
      </w:tr>
      <w:tr w:rsidR="00D053EB" w:rsidRPr="00D053EB" w14:paraId="27A8673B" w14:textId="77777777" w:rsidTr="002F2D60">
        <w:trPr>
          <w:trHeight w:val="264"/>
        </w:trPr>
        <w:tc>
          <w:tcPr>
            <w:tcW w:w="1809" w:type="dxa"/>
            <w:vMerge/>
            <w:shd w:val="clear" w:color="auto" w:fill="D9D9D9"/>
          </w:tcPr>
          <w:p w14:paraId="213A77EC" w14:textId="77777777" w:rsidR="00832D75" w:rsidRPr="00D053EB" w:rsidRDefault="00832D75" w:rsidP="002F2D60">
            <w:pPr>
              <w:spacing w:line="500" w:lineRule="exact"/>
              <w:rPr>
                <w:rFonts w:ascii="仿宋_GB2312" w:eastAsia="仿宋_GB2312" w:hAnsi="Times New Roman"/>
                <w:sz w:val="28"/>
                <w:szCs w:val="28"/>
              </w:rPr>
            </w:pPr>
          </w:p>
        </w:tc>
        <w:tc>
          <w:tcPr>
            <w:tcW w:w="6949" w:type="dxa"/>
            <w:gridSpan w:val="2"/>
          </w:tcPr>
          <w:p w14:paraId="5B174B16"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□5、参与集中的经营者收购境外企业股权或资产的，该</w:t>
            </w:r>
            <w:r w:rsidRPr="00D053EB">
              <w:rPr>
                <w:rFonts w:ascii="仿宋_GB2312" w:eastAsia="仿宋_GB2312" w:hAnsi="Times New Roman" w:hint="eastAsia"/>
                <w:sz w:val="28"/>
                <w:szCs w:val="28"/>
              </w:rPr>
              <w:lastRenderedPageBreak/>
              <w:t>境外企业不在中国境内从事经济活动。</w:t>
            </w:r>
          </w:p>
        </w:tc>
      </w:tr>
      <w:tr w:rsidR="00D053EB" w:rsidRPr="00D053EB" w14:paraId="2C56A241" w14:textId="77777777" w:rsidTr="002F2D60">
        <w:trPr>
          <w:trHeight w:val="345"/>
        </w:trPr>
        <w:tc>
          <w:tcPr>
            <w:tcW w:w="1809" w:type="dxa"/>
            <w:vMerge/>
            <w:shd w:val="clear" w:color="auto" w:fill="D9D9D9"/>
          </w:tcPr>
          <w:p w14:paraId="028D0CEB" w14:textId="77777777" w:rsidR="00832D75" w:rsidRPr="00D053EB" w:rsidRDefault="00832D75" w:rsidP="002F2D60">
            <w:pPr>
              <w:spacing w:line="500" w:lineRule="exact"/>
              <w:rPr>
                <w:rFonts w:ascii="仿宋_GB2312" w:eastAsia="仿宋_GB2312" w:hAnsi="Times New Roman"/>
                <w:sz w:val="28"/>
                <w:szCs w:val="28"/>
              </w:rPr>
            </w:pPr>
          </w:p>
        </w:tc>
        <w:tc>
          <w:tcPr>
            <w:tcW w:w="6949" w:type="dxa"/>
            <w:gridSpan w:val="2"/>
          </w:tcPr>
          <w:p w14:paraId="7835359C"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□6、由两个以上的经营者共同控制的合营企业，通过集中被其中一个或一个以上经营者控制。</w:t>
            </w:r>
          </w:p>
        </w:tc>
      </w:tr>
      <w:tr w:rsidR="00D053EB" w:rsidRPr="00D053EB" w14:paraId="4BA7B136" w14:textId="77777777" w:rsidTr="002F2D60">
        <w:tc>
          <w:tcPr>
            <w:tcW w:w="1809" w:type="dxa"/>
            <w:shd w:val="clear" w:color="auto" w:fill="D9D9D9"/>
          </w:tcPr>
          <w:p w14:paraId="129B567B" w14:textId="77777777" w:rsidR="00832D75" w:rsidRPr="00D053EB" w:rsidRDefault="00832D75" w:rsidP="002F2D60">
            <w:pPr>
              <w:spacing w:line="500" w:lineRule="exact"/>
              <w:rPr>
                <w:rFonts w:ascii="仿宋_GB2312" w:eastAsia="仿宋_GB2312" w:hAnsi="Times New Roman"/>
                <w:sz w:val="28"/>
                <w:szCs w:val="28"/>
              </w:rPr>
            </w:pPr>
            <w:r w:rsidRPr="00D053EB">
              <w:rPr>
                <w:rFonts w:ascii="仿宋_GB2312" w:eastAsia="仿宋_GB2312" w:hAnsi="Times New Roman" w:hint="eastAsia"/>
                <w:sz w:val="28"/>
                <w:szCs w:val="28"/>
              </w:rPr>
              <w:t>备注</w:t>
            </w:r>
          </w:p>
        </w:tc>
        <w:tc>
          <w:tcPr>
            <w:tcW w:w="6949" w:type="dxa"/>
            <w:gridSpan w:val="2"/>
          </w:tcPr>
          <w:p w14:paraId="6C516F5E" w14:textId="77777777" w:rsidR="007D4442" w:rsidRPr="00D053EB" w:rsidRDefault="00F52FB5" w:rsidP="007D4442">
            <w:pPr>
              <w:pStyle w:val="ad"/>
              <w:numPr>
                <w:ilvl w:val="0"/>
                <w:numId w:val="8"/>
              </w:numPr>
              <w:spacing w:line="500" w:lineRule="exact"/>
              <w:ind w:firstLineChars="0"/>
              <w:rPr>
                <w:rFonts w:ascii="仿宋_GB2312" w:eastAsia="仿宋_GB2312" w:hAnsi="Times New Roman"/>
                <w:sz w:val="28"/>
                <w:szCs w:val="28"/>
              </w:rPr>
            </w:pPr>
            <w:r w:rsidRPr="00D053EB">
              <w:rPr>
                <w:rFonts w:ascii="仿宋_GB2312" w:eastAsia="仿宋_GB2312" w:hAnsi="Times New Roman" w:hint="eastAsia"/>
                <w:sz w:val="28"/>
                <w:szCs w:val="28"/>
              </w:rPr>
              <w:t>相关产品市场：</w:t>
            </w:r>
          </w:p>
          <w:p w14:paraId="1891752D" w14:textId="70A8FE59" w:rsidR="007D4442" w:rsidRPr="00D053EB" w:rsidRDefault="00C679F6" w:rsidP="00C679F6">
            <w:pPr>
              <w:pStyle w:val="ad"/>
              <w:numPr>
                <w:ilvl w:val="0"/>
                <w:numId w:val="6"/>
              </w:numPr>
              <w:spacing w:line="500" w:lineRule="exact"/>
              <w:ind w:left="743" w:firstLineChars="0"/>
              <w:rPr>
                <w:rFonts w:ascii="仿宋_GB2312" w:eastAsia="仿宋_GB2312" w:hAnsi="Times New Roman"/>
                <w:sz w:val="28"/>
                <w:szCs w:val="28"/>
              </w:rPr>
            </w:pPr>
            <w:bookmarkStart w:id="6" w:name="OLE_LINK37"/>
            <w:bookmarkStart w:id="7" w:name="OLE_LINK38"/>
            <w:r w:rsidRPr="00D053EB">
              <w:rPr>
                <w:rFonts w:ascii="仿宋_GB2312" w:eastAsia="仿宋_GB2312" w:hAnsi="Times New Roman" w:hint="eastAsia"/>
                <w:sz w:val="28"/>
                <w:szCs w:val="28"/>
              </w:rPr>
              <w:t>综合医院医疗服务市场</w:t>
            </w:r>
            <w:bookmarkEnd w:id="6"/>
            <w:bookmarkEnd w:id="7"/>
            <w:r w:rsidR="009127BC" w:rsidRPr="00D053EB">
              <w:rPr>
                <w:rFonts w:ascii="仿宋_GB2312" w:eastAsia="仿宋_GB2312" w:hAnsi="Times New Roman" w:hint="eastAsia"/>
                <w:sz w:val="28"/>
                <w:szCs w:val="28"/>
              </w:rPr>
              <w:t>。</w:t>
            </w:r>
          </w:p>
          <w:p w14:paraId="1F48F320" w14:textId="1DB94FD1" w:rsidR="007D4442" w:rsidRPr="00D053EB" w:rsidRDefault="00F52FB5" w:rsidP="007D4442">
            <w:pPr>
              <w:pStyle w:val="ad"/>
              <w:numPr>
                <w:ilvl w:val="0"/>
                <w:numId w:val="8"/>
              </w:numPr>
              <w:spacing w:line="500" w:lineRule="exact"/>
              <w:ind w:firstLineChars="0"/>
              <w:rPr>
                <w:rFonts w:ascii="仿宋_GB2312" w:eastAsia="仿宋_GB2312" w:hAnsi="Times New Roman"/>
                <w:sz w:val="28"/>
                <w:szCs w:val="28"/>
              </w:rPr>
            </w:pPr>
            <w:r w:rsidRPr="00D053EB">
              <w:rPr>
                <w:rFonts w:ascii="仿宋_GB2312" w:eastAsia="仿宋_GB2312" w:hAnsi="Times New Roman" w:hint="eastAsia"/>
                <w:sz w:val="28"/>
                <w:szCs w:val="28"/>
              </w:rPr>
              <w:t>相关地域市场：</w:t>
            </w:r>
            <w:r w:rsidR="00886CDB" w:rsidRPr="00D053EB">
              <w:rPr>
                <w:rFonts w:ascii="仿宋_GB2312" w:eastAsia="仿宋_GB2312" w:hAnsi="Times New Roman" w:hint="eastAsia"/>
                <w:sz w:val="28"/>
                <w:szCs w:val="28"/>
              </w:rPr>
              <w:t>太原市</w:t>
            </w:r>
            <w:r w:rsidR="009127BC" w:rsidRPr="00D053EB">
              <w:rPr>
                <w:rFonts w:ascii="仿宋_GB2312" w:eastAsia="仿宋_GB2312" w:hAnsi="Times New Roman" w:hint="eastAsia"/>
                <w:sz w:val="28"/>
                <w:szCs w:val="28"/>
              </w:rPr>
              <w:t>。</w:t>
            </w:r>
          </w:p>
          <w:p w14:paraId="4CA3D9CE" w14:textId="77777777" w:rsidR="007D4442" w:rsidRPr="00D053EB" w:rsidRDefault="007D4442" w:rsidP="007D4442">
            <w:pPr>
              <w:pStyle w:val="ad"/>
              <w:numPr>
                <w:ilvl w:val="0"/>
                <w:numId w:val="8"/>
              </w:numPr>
              <w:spacing w:line="500" w:lineRule="exact"/>
              <w:ind w:firstLineChars="0"/>
              <w:rPr>
                <w:rFonts w:ascii="仿宋_GB2312" w:eastAsia="仿宋_GB2312" w:hAnsi="Times New Roman"/>
                <w:sz w:val="28"/>
                <w:szCs w:val="28"/>
              </w:rPr>
            </w:pPr>
            <w:r w:rsidRPr="00D053EB">
              <w:rPr>
                <w:rFonts w:ascii="仿宋_GB2312" w:eastAsia="仿宋_GB2312" w:hAnsi="Times New Roman" w:hint="eastAsia"/>
                <w:sz w:val="28"/>
                <w:szCs w:val="28"/>
              </w:rPr>
              <w:t>相关市场份额：</w:t>
            </w:r>
          </w:p>
          <w:p w14:paraId="05691289" w14:textId="6DCB4D07" w:rsidR="00E13DBA" w:rsidRPr="00D053EB" w:rsidRDefault="00914D94" w:rsidP="002224C4">
            <w:pPr>
              <w:pStyle w:val="ad"/>
              <w:spacing w:line="500" w:lineRule="exact"/>
              <w:ind w:left="435" w:firstLineChars="0" w:firstLine="0"/>
              <w:rPr>
                <w:rFonts w:ascii="仿宋_GB2312" w:eastAsia="仿宋_GB2312" w:hAnsi="Times New Roman"/>
                <w:sz w:val="28"/>
                <w:szCs w:val="28"/>
              </w:rPr>
            </w:pPr>
            <w:r w:rsidRPr="00D053EB">
              <w:rPr>
                <w:rFonts w:ascii="仿宋_GB2312" w:eastAsia="仿宋_GB2312" w:hAnsi="Times New Roman" w:hint="eastAsia"/>
                <w:sz w:val="28"/>
                <w:szCs w:val="28"/>
              </w:rPr>
              <w:t>横向重叠</w:t>
            </w:r>
            <w:r w:rsidR="0058480C" w:rsidRPr="00D053EB">
              <w:rPr>
                <w:rFonts w:ascii="仿宋_GB2312" w:eastAsia="仿宋_GB2312" w:hAnsi="Times New Roman" w:hint="eastAsia"/>
                <w:sz w:val="28"/>
                <w:szCs w:val="28"/>
              </w:rPr>
              <w:t>的相关</w:t>
            </w:r>
            <w:r w:rsidRPr="00D053EB">
              <w:rPr>
                <w:rFonts w:ascii="仿宋_GB2312" w:eastAsia="仿宋_GB2312" w:hAnsi="Times New Roman" w:hint="eastAsia"/>
                <w:sz w:val="28"/>
                <w:szCs w:val="28"/>
              </w:rPr>
              <w:t>市场：</w:t>
            </w:r>
          </w:p>
          <w:p w14:paraId="7291D2AA" w14:textId="6A1DED35" w:rsidR="002224C4" w:rsidRPr="00D053EB" w:rsidRDefault="002224C4" w:rsidP="007D4442">
            <w:pPr>
              <w:pStyle w:val="ad"/>
              <w:numPr>
                <w:ilvl w:val="0"/>
                <w:numId w:val="6"/>
              </w:numPr>
              <w:spacing w:line="500" w:lineRule="exact"/>
              <w:ind w:left="743" w:firstLineChars="0"/>
              <w:rPr>
                <w:rFonts w:ascii="仿宋_GB2312" w:eastAsia="仿宋_GB2312" w:hAnsi="Times New Roman"/>
                <w:sz w:val="28"/>
                <w:szCs w:val="28"/>
              </w:rPr>
            </w:pPr>
            <w:r w:rsidRPr="00D053EB">
              <w:rPr>
                <w:rFonts w:ascii="仿宋_GB2312" w:eastAsia="仿宋_GB2312" w:hAnsi="Times New Roman" w:hint="eastAsia"/>
                <w:sz w:val="28"/>
                <w:szCs w:val="28"/>
              </w:rPr>
              <w:t>太原市综合医院医疗服务市场</w:t>
            </w:r>
            <w:r w:rsidR="00DD2E31">
              <w:rPr>
                <w:rFonts w:ascii="仿宋_GB2312" w:eastAsia="仿宋_GB2312" w:hAnsi="Times New Roman" w:hint="eastAsia"/>
                <w:sz w:val="28"/>
                <w:szCs w:val="28"/>
              </w:rPr>
              <w:t>（以营业额计）</w:t>
            </w:r>
          </w:p>
          <w:p w14:paraId="2AF8CF70" w14:textId="4BBA4936" w:rsidR="00E13DBA" w:rsidRPr="00D053EB" w:rsidRDefault="002224C4" w:rsidP="00F04C93">
            <w:pPr>
              <w:pStyle w:val="ad"/>
              <w:numPr>
                <w:ilvl w:val="0"/>
                <w:numId w:val="9"/>
              </w:numPr>
              <w:spacing w:line="500" w:lineRule="exact"/>
              <w:ind w:firstLineChars="0"/>
              <w:rPr>
                <w:rFonts w:ascii="仿宋_GB2312" w:eastAsia="仿宋_GB2312" w:hAnsi="Times New Roman"/>
                <w:sz w:val="28"/>
                <w:szCs w:val="28"/>
              </w:rPr>
            </w:pPr>
            <w:r w:rsidRPr="00D053EB">
              <w:rPr>
                <w:rFonts w:ascii="仿宋_GB2312" w:eastAsia="仿宋_GB2312" w:hAnsi="Times New Roman" w:hint="eastAsia"/>
                <w:sz w:val="28"/>
                <w:szCs w:val="28"/>
              </w:rPr>
              <w:t>国科新里程</w:t>
            </w:r>
            <w:r w:rsidR="00E13DBA" w:rsidRPr="00D053EB">
              <w:rPr>
                <w:rFonts w:ascii="仿宋_GB2312" w:eastAsia="仿宋_GB2312" w:hAnsi="Times New Roman" w:hint="eastAsia"/>
                <w:sz w:val="28"/>
                <w:szCs w:val="28"/>
              </w:rPr>
              <w:t>：[</w:t>
            </w:r>
            <w:r w:rsidR="009B402D">
              <w:rPr>
                <w:rFonts w:ascii="仿宋_GB2312" w:eastAsia="仿宋_GB2312" w:hAnsi="Times New Roman"/>
                <w:sz w:val="28"/>
                <w:szCs w:val="28"/>
              </w:rPr>
              <w:t>1</w:t>
            </w:r>
            <w:r w:rsidR="00135669" w:rsidRPr="00D053EB">
              <w:rPr>
                <w:rFonts w:ascii="仿宋_GB2312" w:eastAsia="仿宋_GB2312" w:hAnsi="Times New Roman"/>
                <w:sz w:val="28"/>
                <w:szCs w:val="28"/>
              </w:rPr>
              <w:t>-</w:t>
            </w:r>
            <w:proofErr w:type="gramStart"/>
            <w:r w:rsidR="009B402D">
              <w:rPr>
                <w:rFonts w:ascii="仿宋_GB2312" w:eastAsia="仿宋_GB2312" w:hAnsi="Times New Roman"/>
                <w:sz w:val="28"/>
                <w:szCs w:val="28"/>
              </w:rPr>
              <w:t>5</w:t>
            </w:r>
            <w:r w:rsidR="00E13DBA" w:rsidRPr="00D053EB">
              <w:rPr>
                <w:rFonts w:ascii="仿宋_GB2312" w:eastAsia="仿宋_GB2312" w:hAnsi="Times New Roman" w:hint="eastAsia"/>
                <w:sz w:val="28"/>
                <w:szCs w:val="28"/>
              </w:rPr>
              <w:t>]%</w:t>
            </w:r>
            <w:proofErr w:type="gramEnd"/>
          </w:p>
          <w:p w14:paraId="56E77873" w14:textId="77777777" w:rsidR="00352F03" w:rsidRDefault="002224C4" w:rsidP="002224C4">
            <w:pPr>
              <w:pStyle w:val="ad"/>
              <w:numPr>
                <w:ilvl w:val="0"/>
                <w:numId w:val="9"/>
              </w:numPr>
              <w:spacing w:line="500" w:lineRule="exact"/>
              <w:ind w:firstLineChars="0"/>
              <w:rPr>
                <w:rFonts w:ascii="仿宋_GB2312" w:eastAsia="仿宋_GB2312" w:hAnsi="Times New Roman"/>
                <w:sz w:val="28"/>
                <w:szCs w:val="28"/>
              </w:rPr>
            </w:pPr>
            <w:proofErr w:type="gramStart"/>
            <w:r w:rsidRPr="00D053EB">
              <w:rPr>
                <w:rFonts w:ascii="仿宋_GB2312" w:eastAsia="仿宋_GB2312" w:hAnsi="Times New Roman" w:hint="eastAsia"/>
                <w:sz w:val="28"/>
                <w:szCs w:val="28"/>
              </w:rPr>
              <w:t>弘慈医疗</w:t>
            </w:r>
            <w:proofErr w:type="gramEnd"/>
            <w:r w:rsidR="000A4946" w:rsidRPr="00D053EB">
              <w:rPr>
                <w:rFonts w:ascii="仿宋_GB2312" w:eastAsia="仿宋_GB2312" w:hAnsi="Times New Roman" w:hint="eastAsia"/>
                <w:sz w:val="28"/>
                <w:szCs w:val="28"/>
              </w:rPr>
              <w:t>：[0-</w:t>
            </w:r>
            <w:proofErr w:type="gramStart"/>
            <w:r w:rsidR="008D5452" w:rsidRPr="00D053EB">
              <w:rPr>
                <w:rFonts w:ascii="仿宋_GB2312" w:eastAsia="仿宋_GB2312" w:hAnsi="Times New Roman"/>
                <w:sz w:val="28"/>
                <w:szCs w:val="28"/>
              </w:rPr>
              <w:t>1</w:t>
            </w:r>
            <w:r w:rsidR="000A4946" w:rsidRPr="00D053EB">
              <w:rPr>
                <w:rFonts w:ascii="仿宋_GB2312" w:eastAsia="仿宋_GB2312" w:hAnsi="Times New Roman" w:hint="eastAsia"/>
                <w:sz w:val="28"/>
                <w:szCs w:val="28"/>
              </w:rPr>
              <w:t>]%</w:t>
            </w:r>
            <w:proofErr w:type="gramEnd"/>
          </w:p>
          <w:p w14:paraId="3559A8A6" w14:textId="0220F2C0" w:rsidR="00BC16B0" w:rsidRPr="00D053EB" w:rsidRDefault="009E3F17" w:rsidP="00AF32A0">
            <w:pPr>
              <w:pStyle w:val="ad"/>
              <w:numPr>
                <w:ilvl w:val="0"/>
                <w:numId w:val="9"/>
              </w:numPr>
              <w:spacing w:line="500" w:lineRule="exact"/>
              <w:ind w:firstLineChars="0"/>
              <w:rPr>
                <w:rFonts w:ascii="仿宋_GB2312" w:eastAsia="仿宋_GB2312" w:hAnsi="Times New Roman"/>
                <w:sz w:val="28"/>
                <w:szCs w:val="28"/>
              </w:rPr>
            </w:pPr>
            <w:r>
              <w:rPr>
                <w:rFonts w:ascii="仿宋_GB2312" w:eastAsia="仿宋_GB2312" w:hAnsi="Times New Roman" w:hint="eastAsia"/>
                <w:sz w:val="28"/>
                <w:szCs w:val="28"/>
              </w:rPr>
              <w:t>合计：[</w:t>
            </w:r>
            <w:r w:rsidR="0021155E">
              <w:rPr>
                <w:rFonts w:ascii="仿宋_GB2312" w:eastAsia="仿宋_GB2312" w:hAnsi="Times New Roman"/>
                <w:sz w:val="28"/>
                <w:szCs w:val="28"/>
              </w:rPr>
              <w:t>1</w:t>
            </w:r>
            <w:r>
              <w:rPr>
                <w:rFonts w:ascii="仿宋_GB2312" w:eastAsia="仿宋_GB2312" w:hAnsi="Times New Roman"/>
                <w:sz w:val="28"/>
                <w:szCs w:val="28"/>
              </w:rPr>
              <w:t>-</w:t>
            </w:r>
            <w:proofErr w:type="gramStart"/>
            <w:r>
              <w:rPr>
                <w:rFonts w:ascii="仿宋_GB2312" w:eastAsia="仿宋_GB2312" w:hAnsi="Times New Roman"/>
                <w:sz w:val="28"/>
                <w:szCs w:val="28"/>
              </w:rPr>
              <w:t>5]%</w:t>
            </w:r>
            <w:proofErr w:type="gramEnd"/>
          </w:p>
        </w:tc>
      </w:tr>
    </w:tbl>
    <w:p w14:paraId="7B463456" w14:textId="77777777" w:rsidR="00F87C1F" w:rsidRPr="00D053EB" w:rsidRDefault="00F87C1F" w:rsidP="008E36B2">
      <w:pPr>
        <w:snapToGrid w:val="0"/>
        <w:spacing w:line="240" w:lineRule="exact"/>
        <w:jc w:val="left"/>
      </w:pPr>
    </w:p>
    <w:p w14:paraId="4F52D1A2" w14:textId="77777777" w:rsidR="008B2540" w:rsidRPr="00D053EB" w:rsidRDefault="008B2540" w:rsidP="008B2540">
      <w:pPr>
        <w:snapToGrid w:val="0"/>
        <w:spacing w:line="240" w:lineRule="exact"/>
        <w:jc w:val="left"/>
        <w:rPr>
          <w:rFonts w:ascii="楷体_GB2312" w:eastAsia="楷体_GB2312" w:hAnsi="宋体"/>
          <w:sz w:val="24"/>
          <w:szCs w:val="24"/>
        </w:rPr>
      </w:pPr>
      <w:r w:rsidRPr="00D053EB">
        <w:rPr>
          <w:rFonts w:ascii="楷体_GB2312" w:eastAsia="楷体_GB2312" w:hAnsi="宋体" w:hint="eastAsia"/>
          <w:sz w:val="24"/>
          <w:szCs w:val="24"/>
        </w:rPr>
        <w:t>注解：</w:t>
      </w:r>
    </w:p>
    <w:p w14:paraId="37412093" w14:textId="77777777" w:rsidR="008B2540" w:rsidRPr="00D053EB" w:rsidRDefault="008B2540" w:rsidP="008B2540">
      <w:pPr>
        <w:snapToGrid w:val="0"/>
        <w:spacing w:line="360" w:lineRule="auto"/>
        <w:ind w:firstLineChars="200" w:firstLine="480"/>
        <w:jc w:val="left"/>
        <w:rPr>
          <w:rFonts w:ascii="楷体_GB2312" w:eastAsia="楷体_GB2312" w:hAnsi="宋体"/>
          <w:sz w:val="24"/>
          <w:szCs w:val="24"/>
        </w:rPr>
      </w:pPr>
      <w:r w:rsidRPr="00D053EB">
        <w:rPr>
          <w:rFonts w:ascii="楷体_GB2312" w:eastAsia="楷体_GB2312" w:hAnsi="宋体" w:hint="eastAsia"/>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w:t>
      </w:r>
      <w:proofErr w:type="gramStart"/>
      <w:r w:rsidRPr="00D053EB">
        <w:rPr>
          <w:rFonts w:ascii="楷体_GB2312" w:eastAsia="楷体_GB2312" w:hAnsi="宋体" w:hint="eastAsia"/>
          <w:sz w:val="24"/>
          <w:szCs w:val="24"/>
        </w:rPr>
        <w:t>没有勾选的</w:t>
      </w:r>
      <w:proofErr w:type="gramEnd"/>
      <w:r w:rsidRPr="00D053EB">
        <w:rPr>
          <w:rFonts w:ascii="楷体_GB2312" w:eastAsia="楷体_GB2312" w:hAnsi="宋体" w:hint="eastAsia"/>
          <w:sz w:val="24"/>
          <w:szCs w:val="24"/>
        </w:rPr>
        <w:t>，视为本集中不涉及该类型交易。</w:t>
      </w:r>
    </w:p>
    <w:p w14:paraId="588B7062" w14:textId="77777777" w:rsidR="008B2540" w:rsidRPr="00D053EB" w:rsidRDefault="008B2540" w:rsidP="002419D7">
      <w:pPr>
        <w:spacing w:line="360" w:lineRule="auto"/>
        <w:ind w:firstLineChars="200" w:firstLine="480"/>
      </w:pPr>
      <w:r w:rsidRPr="00D053EB">
        <w:rPr>
          <w:rFonts w:ascii="楷体_GB2312" w:eastAsia="楷体_GB2312" w:hAnsi="宋体" w:hint="eastAsia"/>
          <w:sz w:val="24"/>
          <w:szCs w:val="24"/>
        </w:rPr>
        <w:t>2、申报方申请简易案件的理由是基于第4项、第5项时，无须在备注中说明相关市场和市场份额。</w:t>
      </w:r>
      <w:r w:rsidRPr="00D053EB">
        <w:rPr>
          <w:rFonts w:ascii="楷体_GB2312" w:eastAsia="楷体_GB2312" w:hAnsi="宋体" w:hint="eastAsia"/>
          <w:sz w:val="24"/>
          <w:szCs w:val="24"/>
        </w:rPr>
        <w:br/>
        <w:t xml:space="preserve">    3、由两个或两个以上经营者共同控制的合营企业，通过集中被其中的一个经营者控制，如果该经营者与合营企业属于同一相关市场的竞争者，则申报方在申请简易案件时，须</w:t>
      </w:r>
      <w:proofErr w:type="gramStart"/>
      <w:r w:rsidRPr="00D053EB">
        <w:rPr>
          <w:rFonts w:ascii="楷体_GB2312" w:eastAsia="楷体_GB2312" w:hAnsi="宋体" w:hint="eastAsia"/>
          <w:sz w:val="24"/>
          <w:szCs w:val="24"/>
        </w:rPr>
        <w:t>同时勾选第1项</w:t>
      </w:r>
      <w:proofErr w:type="gramEnd"/>
      <w:r w:rsidRPr="00D053EB">
        <w:rPr>
          <w:rFonts w:ascii="楷体_GB2312" w:eastAsia="楷体_GB2312" w:hAnsi="宋体" w:hint="eastAsia"/>
          <w:sz w:val="24"/>
          <w:szCs w:val="24"/>
        </w:rPr>
        <w:t>和第6项理由，并在备注中说明界定的相关商品市场和相关地域市场（无须阐述界定理由），以及相关市场份额。市场份额可以区间形式提供，区间幅度不应超过5%。</w:t>
      </w:r>
    </w:p>
    <w:sectPr w:rsidR="008B2540" w:rsidRPr="00D053EB"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044D1" w14:textId="77777777" w:rsidR="00A46DFE" w:rsidRDefault="00A46DFE" w:rsidP="00094095">
      <w:r>
        <w:separator/>
      </w:r>
    </w:p>
  </w:endnote>
  <w:endnote w:type="continuationSeparator" w:id="0">
    <w:p w14:paraId="0B40A8D8" w14:textId="77777777" w:rsidR="00A46DFE" w:rsidRDefault="00A46DFE" w:rsidP="000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A99F5" w14:textId="77777777" w:rsidR="00A46DFE" w:rsidRDefault="00A46DFE" w:rsidP="00094095">
      <w:r>
        <w:separator/>
      </w:r>
    </w:p>
  </w:footnote>
  <w:footnote w:type="continuationSeparator" w:id="0">
    <w:p w14:paraId="581EB70E" w14:textId="77777777" w:rsidR="00A46DFE" w:rsidRDefault="00A46DFE" w:rsidP="0009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D1D75"/>
    <w:multiLevelType w:val="hybridMultilevel"/>
    <w:tmpl w:val="8CCC176E"/>
    <w:lvl w:ilvl="0" w:tplc="9AA09C86">
      <w:start w:val="1"/>
      <w:numFmt w:val="bullet"/>
      <w:lvlText w:val=""/>
      <w:lvlJc w:val="left"/>
      <w:pPr>
        <w:ind w:left="1163" w:hanging="420"/>
      </w:pPr>
      <w:rPr>
        <w:rFonts w:ascii="Wingdings" w:hAnsi="Wingdings" w:hint="default"/>
      </w:rPr>
    </w:lvl>
    <w:lvl w:ilvl="1" w:tplc="04090003" w:tentative="1">
      <w:start w:val="1"/>
      <w:numFmt w:val="bullet"/>
      <w:lvlText w:val=""/>
      <w:lvlJc w:val="left"/>
      <w:pPr>
        <w:ind w:left="1583" w:hanging="420"/>
      </w:pPr>
      <w:rPr>
        <w:rFonts w:ascii="Wingdings" w:hAnsi="Wingdings" w:hint="default"/>
      </w:rPr>
    </w:lvl>
    <w:lvl w:ilvl="2" w:tplc="04090005"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3" w:tentative="1">
      <w:start w:val="1"/>
      <w:numFmt w:val="bullet"/>
      <w:lvlText w:val=""/>
      <w:lvlJc w:val="left"/>
      <w:pPr>
        <w:ind w:left="2843" w:hanging="420"/>
      </w:pPr>
      <w:rPr>
        <w:rFonts w:ascii="Wingdings" w:hAnsi="Wingdings" w:hint="default"/>
      </w:rPr>
    </w:lvl>
    <w:lvl w:ilvl="5" w:tplc="04090005"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3" w:tentative="1">
      <w:start w:val="1"/>
      <w:numFmt w:val="bullet"/>
      <w:lvlText w:val=""/>
      <w:lvlJc w:val="left"/>
      <w:pPr>
        <w:ind w:left="4103" w:hanging="420"/>
      </w:pPr>
      <w:rPr>
        <w:rFonts w:ascii="Wingdings" w:hAnsi="Wingdings" w:hint="default"/>
      </w:rPr>
    </w:lvl>
    <w:lvl w:ilvl="8" w:tplc="04090005" w:tentative="1">
      <w:start w:val="1"/>
      <w:numFmt w:val="bullet"/>
      <w:lvlText w:val=""/>
      <w:lvlJc w:val="left"/>
      <w:pPr>
        <w:ind w:left="4523" w:hanging="420"/>
      </w:pPr>
      <w:rPr>
        <w:rFonts w:ascii="Wingdings" w:hAnsi="Wingdings" w:hint="default"/>
      </w:rPr>
    </w:lvl>
  </w:abstractNum>
  <w:abstractNum w:abstractNumId="1" w15:restartNumberingAfterBreak="0">
    <w:nsid w:val="1DC42CC1"/>
    <w:multiLevelType w:val="hybridMultilevel"/>
    <w:tmpl w:val="B5AC2128"/>
    <w:lvl w:ilvl="0" w:tplc="CFC675A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72232"/>
    <w:multiLevelType w:val="hybridMultilevel"/>
    <w:tmpl w:val="15A601DE"/>
    <w:lvl w:ilvl="0" w:tplc="67302104">
      <w:start w:val="2"/>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6E5810"/>
    <w:multiLevelType w:val="hybridMultilevel"/>
    <w:tmpl w:val="592C89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46D0E"/>
    <w:multiLevelType w:val="hybridMultilevel"/>
    <w:tmpl w:val="6ECC2B18"/>
    <w:lvl w:ilvl="0" w:tplc="B268EC40">
      <w:start w:val="1"/>
      <w:numFmt w:val="bullet"/>
      <w:lvlText w:val=""/>
      <w:lvlJc w:val="left"/>
      <w:pPr>
        <w:ind w:left="840" w:hanging="420"/>
      </w:pPr>
      <w:rPr>
        <w:rFonts w:ascii="Wingdings" w:hAnsi="Wingdings" w:hint="default"/>
        <w:sz w:val="28"/>
        <w:szCs w:val="2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9A23F68"/>
    <w:multiLevelType w:val="hybridMultilevel"/>
    <w:tmpl w:val="75EA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2B3317"/>
    <w:multiLevelType w:val="hybridMultilevel"/>
    <w:tmpl w:val="3976AB9C"/>
    <w:lvl w:ilvl="0" w:tplc="FCAAB542">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0500838"/>
    <w:multiLevelType w:val="hybridMultilevel"/>
    <w:tmpl w:val="CE1217DA"/>
    <w:lvl w:ilvl="0" w:tplc="90546C80">
      <w:start w:val="2"/>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51744A2"/>
    <w:multiLevelType w:val="hybridMultilevel"/>
    <w:tmpl w:val="F9E0A762"/>
    <w:lvl w:ilvl="0" w:tplc="AA82E2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95"/>
    <w:rsid w:val="00035A82"/>
    <w:rsid w:val="00044C5D"/>
    <w:rsid w:val="00050196"/>
    <w:rsid w:val="00051A3A"/>
    <w:rsid w:val="00060FC7"/>
    <w:rsid w:val="000654B2"/>
    <w:rsid w:val="00073DB7"/>
    <w:rsid w:val="0009242A"/>
    <w:rsid w:val="00094095"/>
    <w:rsid w:val="000A2D00"/>
    <w:rsid w:val="000A4946"/>
    <w:rsid w:val="000B03C7"/>
    <w:rsid w:val="000B0B0C"/>
    <w:rsid w:val="000E149B"/>
    <w:rsid w:val="000E181C"/>
    <w:rsid w:val="000E39F3"/>
    <w:rsid w:val="000E766D"/>
    <w:rsid w:val="00101756"/>
    <w:rsid w:val="00113567"/>
    <w:rsid w:val="00115508"/>
    <w:rsid w:val="001205CE"/>
    <w:rsid w:val="00135669"/>
    <w:rsid w:val="00137E6C"/>
    <w:rsid w:val="00140797"/>
    <w:rsid w:val="00145508"/>
    <w:rsid w:val="0015264D"/>
    <w:rsid w:val="00192BC1"/>
    <w:rsid w:val="001B59B4"/>
    <w:rsid w:val="001D19A8"/>
    <w:rsid w:val="001F489E"/>
    <w:rsid w:val="001F7F49"/>
    <w:rsid w:val="0021155E"/>
    <w:rsid w:val="002224C4"/>
    <w:rsid w:val="002419D7"/>
    <w:rsid w:val="00245776"/>
    <w:rsid w:val="00245A8C"/>
    <w:rsid w:val="00266059"/>
    <w:rsid w:val="0027718A"/>
    <w:rsid w:val="002A5EC2"/>
    <w:rsid w:val="002F2D60"/>
    <w:rsid w:val="002F66E5"/>
    <w:rsid w:val="00303602"/>
    <w:rsid w:val="00307976"/>
    <w:rsid w:val="00310057"/>
    <w:rsid w:val="00326065"/>
    <w:rsid w:val="0033704E"/>
    <w:rsid w:val="003439C2"/>
    <w:rsid w:val="00350C89"/>
    <w:rsid w:val="00352F03"/>
    <w:rsid w:val="003773CC"/>
    <w:rsid w:val="00381ACA"/>
    <w:rsid w:val="003B5C8E"/>
    <w:rsid w:val="003C7576"/>
    <w:rsid w:val="003D2A38"/>
    <w:rsid w:val="003E296B"/>
    <w:rsid w:val="003E2E2D"/>
    <w:rsid w:val="003F61CE"/>
    <w:rsid w:val="004128EE"/>
    <w:rsid w:val="00421EDA"/>
    <w:rsid w:val="004446A5"/>
    <w:rsid w:val="00455D25"/>
    <w:rsid w:val="00461540"/>
    <w:rsid w:val="004618C7"/>
    <w:rsid w:val="00462174"/>
    <w:rsid w:val="0046372E"/>
    <w:rsid w:val="00470B2F"/>
    <w:rsid w:val="00473D54"/>
    <w:rsid w:val="004911B1"/>
    <w:rsid w:val="00497151"/>
    <w:rsid w:val="004A1773"/>
    <w:rsid w:val="004A46F2"/>
    <w:rsid w:val="004B5FBC"/>
    <w:rsid w:val="004D7D6B"/>
    <w:rsid w:val="004E39E5"/>
    <w:rsid w:val="004F351E"/>
    <w:rsid w:val="004F5CBC"/>
    <w:rsid w:val="004F66FD"/>
    <w:rsid w:val="0050045E"/>
    <w:rsid w:val="00506E15"/>
    <w:rsid w:val="005146E7"/>
    <w:rsid w:val="00583615"/>
    <w:rsid w:val="0058480C"/>
    <w:rsid w:val="005976FA"/>
    <w:rsid w:val="005C5BF6"/>
    <w:rsid w:val="005D1C09"/>
    <w:rsid w:val="005D490B"/>
    <w:rsid w:val="005E4246"/>
    <w:rsid w:val="005E76E4"/>
    <w:rsid w:val="005F167B"/>
    <w:rsid w:val="0061158F"/>
    <w:rsid w:val="00653B35"/>
    <w:rsid w:val="00686BB7"/>
    <w:rsid w:val="006B3F05"/>
    <w:rsid w:val="006C0C8E"/>
    <w:rsid w:val="006D78A5"/>
    <w:rsid w:val="007068BF"/>
    <w:rsid w:val="00716A63"/>
    <w:rsid w:val="007327D8"/>
    <w:rsid w:val="00745A7C"/>
    <w:rsid w:val="007478C4"/>
    <w:rsid w:val="007A136D"/>
    <w:rsid w:val="007A590E"/>
    <w:rsid w:val="007B3834"/>
    <w:rsid w:val="007C5F6F"/>
    <w:rsid w:val="007D4442"/>
    <w:rsid w:val="007E01A6"/>
    <w:rsid w:val="008114B8"/>
    <w:rsid w:val="00814098"/>
    <w:rsid w:val="00816CBC"/>
    <w:rsid w:val="0082167A"/>
    <w:rsid w:val="008231D7"/>
    <w:rsid w:val="00832D75"/>
    <w:rsid w:val="0084163F"/>
    <w:rsid w:val="008443BF"/>
    <w:rsid w:val="00845C14"/>
    <w:rsid w:val="00847AF2"/>
    <w:rsid w:val="0087362A"/>
    <w:rsid w:val="00886CDB"/>
    <w:rsid w:val="00895A29"/>
    <w:rsid w:val="008A1EE9"/>
    <w:rsid w:val="008B2540"/>
    <w:rsid w:val="008B533B"/>
    <w:rsid w:val="008D5452"/>
    <w:rsid w:val="008E2AB5"/>
    <w:rsid w:val="008E36B2"/>
    <w:rsid w:val="008E4FE1"/>
    <w:rsid w:val="008E79B0"/>
    <w:rsid w:val="008F5ADC"/>
    <w:rsid w:val="009127BC"/>
    <w:rsid w:val="00913BD4"/>
    <w:rsid w:val="00914D94"/>
    <w:rsid w:val="00926671"/>
    <w:rsid w:val="00947D01"/>
    <w:rsid w:val="00955538"/>
    <w:rsid w:val="00956202"/>
    <w:rsid w:val="0097058B"/>
    <w:rsid w:val="0097319F"/>
    <w:rsid w:val="009847E3"/>
    <w:rsid w:val="0099199A"/>
    <w:rsid w:val="009A78D7"/>
    <w:rsid w:val="009B402D"/>
    <w:rsid w:val="009E26FD"/>
    <w:rsid w:val="009E3F17"/>
    <w:rsid w:val="00A04764"/>
    <w:rsid w:val="00A230C3"/>
    <w:rsid w:val="00A252E0"/>
    <w:rsid w:val="00A33CD5"/>
    <w:rsid w:val="00A34A3F"/>
    <w:rsid w:val="00A40DD4"/>
    <w:rsid w:val="00A43CE7"/>
    <w:rsid w:val="00A45793"/>
    <w:rsid w:val="00A46DFE"/>
    <w:rsid w:val="00A6478F"/>
    <w:rsid w:val="00A806F7"/>
    <w:rsid w:val="00A82097"/>
    <w:rsid w:val="00A82FD4"/>
    <w:rsid w:val="00AA6A5F"/>
    <w:rsid w:val="00AB163A"/>
    <w:rsid w:val="00AB3A08"/>
    <w:rsid w:val="00AB4317"/>
    <w:rsid w:val="00AC03FC"/>
    <w:rsid w:val="00AD1BBD"/>
    <w:rsid w:val="00AE009B"/>
    <w:rsid w:val="00AE290A"/>
    <w:rsid w:val="00AF32A0"/>
    <w:rsid w:val="00AF49A1"/>
    <w:rsid w:val="00B10430"/>
    <w:rsid w:val="00B136F7"/>
    <w:rsid w:val="00B33BA6"/>
    <w:rsid w:val="00B4388B"/>
    <w:rsid w:val="00B62BB3"/>
    <w:rsid w:val="00B633CB"/>
    <w:rsid w:val="00B75E74"/>
    <w:rsid w:val="00B773B7"/>
    <w:rsid w:val="00BA0750"/>
    <w:rsid w:val="00BA0752"/>
    <w:rsid w:val="00BA6062"/>
    <w:rsid w:val="00BA7CF3"/>
    <w:rsid w:val="00BB0BD8"/>
    <w:rsid w:val="00BB2377"/>
    <w:rsid w:val="00BB64E6"/>
    <w:rsid w:val="00BC16B0"/>
    <w:rsid w:val="00BD2CA2"/>
    <w:rsid w:val="00BE25B9"/>
    <w:rsid w:val="00BE6716"/>
    <w:rsid w:val="00C0687A"/>
    <w:rsid w:val="00C14C8A"/>
    <w:rsid w:val="00C220D7"/>
    <w:rsid w:val="00C326AD"/>
    <w:rsid w:val="00C40D2C"/>
    <w:rsid w:val="00C63340"/>
    <w:rsid w:val="00C63BB2"/>
    <w:rsid w:val="00C679F6"/>
    <w:rsid w:val="00C9068E"/>
    <w:rsid w:val="00C9172A"/>
    <w:rsid w:val="00CB5D60"/>
    <w:rsid w:val="00CC4327"/>
    <w:rsid w:val="00CE6852"/>
    <w:rsid w:val="00D02E8D"/>
    <w:rsid w:val="00D053EB"/>
    <w:rsid w:val="00D05BE2"/>
    <w:rsid w:val="00D05BF9"/>
    <w:rsid w:val="00D21378"/>
    <w:rsid w:val="00D21777"/>
    <w:rsid w:val="00D31776"/>
    <w:rsid w:val="00D80902"/>
    <w:rsid w:val="00DA46DA"/>
    <w:rsid w:val="00DD2E31"/>
    <w:rsid w:val="00DE21FA"/>
    <w:rsid w:val="00DF3291"/>
    <w:rsid w:val="00E11400"/>
    <w:rsid w:val="00E13DBA"/>
    <w:rsid w:val="00E232A8"/>
    <w:rsid w:val="00E449DE"/>
    <w:rsid w:val="00E47FAD"/>
    <w:rsid w:val="00E50802"/>
    <w:rsid w:val="00E51E5F"/>
    <w:rsid w:val="00E53E71"/>
    <w:rsid w:val="00E65F14"/>
    <w:rsid w:val="00E715CC"/>
    <w:rsid w:val="00E92EED"/>
    <w:rsid w:val="00EC41A0"/>
    <w:rsid w:val="00EC6318"/>
    <w:rsid w:val="00ED21B1"/>
    <w:rsid w:val="00ED4680"/>
    <w:rsid w:val="00ED4E19"/>
    <w:rsid w:val="00EE28EE"/>
    <w:rsid w:val="00EE6323"/>
    <w:rsid w:val="00EF32D1"/>
    <w:rsid w:val="00F01D28"/>
    <w:rsid w:val="00F04C93"/>
    <w:rsid w:val="00F149BE"/>
    <w:rsid w:val="00F15C98"/>
    <w:rsid w:val="00F1624A"/>
    <w:rsid w:val="00F2146A"/>
    <w:rsid w:val="00F223DE"/>
    <w:rsid w:val="00F26A0F"/>
    <w:rsid w:val="00F322C0"/>
    <w:rsid w:val="00F417D2"/>
    <w:rsid w:val="00F418EA"/>
    <w:rsid w:val="00F52FB5"/>
    <w:rsid w:val="00F5463D"/>
    <w:rsid w:val="00F73AA4"/>
    <w:rsid w:val="00F84765"/>
    <w:rsid w:val="00F848F3"/>
    <w:rsid w:val="00F84A27"/>
    <w:rsid w:val="00F87C1F"/>
    <w:rsid w:val="00F96AAD"/>
    <w:rsid w:val="00F97C81"/>
    <w:rsid w:val="00FB65C4"/>
    <w:rsid w:val="00FC081D"/>
    <w:rsid w:val="00FD3D7D"/>
    <w:rsid w:val="00FD40CF"/>
    <w:rsid w:val="00FE7106"/>
    <w:rsid w:val="00FF2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0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094095"/>
    <w:pPr>
      <w:snapToGrid w:val="0"/>
      <w:jc w:val="left"/>
    </w:pPr>
  </w:style>
  <w:style w:type="character" w:customStyle="1" w:styleId="a5">
    <w:name w:val="尾注文本 字符"/>
    <w:basedOn w:val="a0"/>
    <w:link w:val="a4"/>
    <w:uiPriority w:val="99"/>
    <w:semiHidden/>
    <w:rsid w:val="00094095"/>
  </w:style>
  <w:style w:type="character" w:styleId="a6">
    <w:name w:val="endnote reference"/>
    <w:uiPriority w:val="99"/>
    <w:semiHidden/>
    <w:unhideWhenUsed/>
    <w:rsid w:val="00094095"/>
    <w:rPr>
      <w:vertAlign w:val="superscript"/>
    </w:rPr>
  </w:style>
  <w:style w:type="paragraph" w:styleId="a7">
    <w:name w:val="header"/>
    <w:basedOn w:val="a"/>
    <w:link w:val="a8"/>
    <w:uiPriority w:val="99"/>
    <w:unhideWhenUsed/>
    <w:rsid w:val="00D21777"/>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D21777"/>
    <w:rPr>
      <w:sz w:val="18"/>
      <w:szCs w:val="18"/>
    </w:rPr>
  </w:style>
  <w:style w:type="paragraph" w:styleId="a9">
    <w:name w:val="footer"/>
    <w:basedOn w:val="a"/>
    <w:link w:val="aa"/>
    <w:uiPriority w:val="99"/>
    <w:unhideWhenUsed/>
    <w:rsid w:val="00D21777"/>
    <w:pPr>
      <w:tabs>
        <w:tab w:val="center" w:pos="4153"/>
        <w:tab w:val="right" w:pos="8306"/>
      </w:tabs>
      <w:snapToGrid w:val="0"/>
      <w:jc w:val="left"/>
    </w:pPr>
    <w:rPr>
      <w:sz w:val="18"/>
      <w:szCs w:val="18"/>
    </w:rPr>
  </w:style>
  <w:style w:type="character" w:customStyle="1" w:styleId="aa">
    <w:name w:val="页脚 字符"/>
    <w:link w:val="a9"/>
    <w:uiPriority w:val="99"/>
    <w:rsid w:val="00D21777"/>
    <w:rPr>
      <w:sz w:val="18"/>
      <w:szCs w:val="18"/>
    </w:rPr>
  </w:style>
  <w:style w:type="paragraph" w:styleId="ab">
    <w:name w:val="Balloon Text"/>
    <w:basedOn w:val="a"/>
    <w:link w:val="ac"/>
    <w:uiPriority w:val="99"/>
    <w:semiHidden/>
    <w:unhideWhenUsed/>
    <w:rsid w:val="00E51E5F"/>
    <w:rPr>
      <w:sz w:val="18"/>
      <w:szCs w:val="18"/>
    </w:rPr>
  </w:style>
  <w:style w:type="character" w:customStyle="1" w:styleId="ac">
    <w:name w:val="批注框文本 字符"/>
    <w:link w:val="ab"/>
    <w:uiPriority w:val="99"/>
    <w:semiHidden/>
    <w:rsid w:val="00E51E5F"/>
    <w:rPr>
      <w:kern w:val="2"/>
      <w:sz w:val="18"/>
      <w:szCs w:val="18"/>
    </w:rPr>
  </w:style>
  <w:style w:type="paragraph" w:styleId="ad">
    <w:name w:val="List Paragraph"/>
    <w:basedOn w:val="a"/>
    <w:uiPriority w:val="34"/>
    <w:qFormat/>
    <w:rsid w:val="005C5BF6"/>
    <w:pPr>
      <w:ind w:firstLineChars="200" w:firstLine="420"/>
    </w:pPr>
  </w:style>
  <w:style w:type="character" w:styleId="ae">
    <w:name w:val="annotation reference"/>
    <w:basedOn w:val="a0"/>
    <w:uiPriority w:val="99"/>
    <w:semiHidden/>
    <w:unhideWhenUsed/>
    <w:rsid w:val="001F489E"/>
    <w:rPr>
      <w:sz w:val="21"/>
      <w:szCs w:val="21"/>
    </w:rPr>
  </w:style>
  <w:style w:type="paragraph" w:styleId="af">
    <w:name w:val="annotation text"/>
    <w:basedOn w:val="a"/>
    <w:link w:val="af0"/>
    <w:uiPriority w:val="99"/>
    <w:unhideWhenUsed/>
    <w:rsid w:val="001F489E"/>
    <w:pPr>
      <w:jc w:val="left"/>
    </w:pPr>
  </w:style>
  <w:style w:type="character" w:customStyle="1" w:styleId="af0">
    <w:name w:val="批注文字 字符"/>
    <w:basedOn w:val="a0"/>
    <w:link w:val="af"/>
    <w:uiPriority w:val="99"/>
    <w:rsid w:val="001F489E"/>
    <w:rPr>
      <w:kern w:val="2"/>
      <w:sz w:val="21"/>
      <w:szCs w:val="22"/>
    </w:rPr>
  </w:style>
  <w:style w:type="paragraph" w:styleId="af1">
    <w:name w:val="annotation subject"/>
    <w:basedOn w:val="af"/>
    <w:next w:val="af"/>
    <w:link w:val="af2"/>
    <w:uiPriority w:val="99"/>
    <w:semiHidden/>
    <w:unhideWhenUsed/>
    <w:rsid w:val="001F489E"/>
    <w:rPr>
      <w:b/>
      <w:bCs/>
    </w:rPr>
  </w:style>
  <w:style w:type="character" w:customStyle="1" w:styleId="af2">
    <w:name w:val="批注主题 字符"/>
    <w:basedOn w:val="af0"/>
    <w:link w:val="af1"/>
    <w:uiPriority w:val="99"/>
    <w:semiHidden/>
    <w:rsid w:val="001F48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652791">
      <w:bodyDiv w:val="1"/>
      <w:marLeft w:val="0"/>
      <w:marRight w:val="0"/>
      <w:marTop w:val="0"/>
      <w:marBottom w:val="0"/>
      <w:divBdr>
        <w:top w:val="none" w:sz="0" w:space="0" w:color="auto"/>
        <w:left w:val="none" w:sz="0" w:space="0" w:color="auto"/>
        <w:bottom w:val="none" w:sz="0" w:space="0" w:color="auto"/>
        <w:right w:val="none" w:sz="0" w:space="0" w:color="auto"/>
      </w:divBdr>
    </w:div>
    <w:div w:id="1337001696">
      <w:bodyDiv w:val="1"/>
      <w:marLeft w:val="0"/>
      <w:marRight w:val="0"/>
      <w:marTop w:val="0"/>
      <w:marBottom w:val="0"/>
      <w:divBdr>
        <w:top w:val="none" w:sz="0" w:space="0" w:color="auto"/>
        <w:left w:val="none" w:sz="0" w:space="0" w:color="auto"/>
        <w:bottom w:val="none" w:sz="0" w:space="0" w:color="auto"/>
        <w:right w:val="none" w:sz="0" w:space="0" w:color="auto"/>
      </w:divBdr>
    </w:div>
    <w:div w:id="15589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4346-94FF-465C-A38A-77D13591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2021-08-25T09:49:00Z</dcterms:created>
  <dcterms:modified xsi:type="dcterms:W3CDTF">2021-08-25T09:49:00Z</dcterms:modified>
</cp:coreProperties>
</file>