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C70E" w14:textId="77777777" w:rsidR="00DC0637" w:rsidRDefault="00641A21">
      <w:pPr>
        <w:snapToGrid w:val="0"/>
        <w:spacing w:before="100" w:beforeAutospacing="1" w:after="100" w:afterAutospacing="1"/>
        <w:jc w:val="left"/>
        <w:rPr>
          <w:rFonts w:ascii="Times New Roman" w:hAnsi="Times New Roman"/>
          <w:b/>
          <w:szCs w:val="21"/>
        </w:rPr>
      </w:pPr>
      <w:r>
        <w:rPr>
          <w:rFonts w:ascii="Times New Roman" w:hAnsi="Times New Roman"/>
          <w:b/>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Cs w:val="21"/>
        </w:rPr>
        <w:instrText>ADDIN CNKISM.UserStyle</w:instrText>
      </w:r>
      <w:r>
        <w:rPr>
          <w:rFonts w:ascii="Times New Roman" w:hAnsi="Times New Roman"/>
          <w:b/>
          <w:szCs w:val="21"/>
        </w:rPr>
      </w:r>
      <w:r>
        <w:rPr>
          <w:rFonts w:ascii="Times New Roman" w:hAnsi="Times New Roman"/>
          <w:b/>
          <w:szCs w:val="21"/>
        </w:rPr>
        <w:fldChar w:fldCharType="end"/>
      </w:r>
      <w:r w:rsidR="00462D52">
        <w:rPr>
          <w:rFonts w:ascii="Times New Roman" w:hAnsi="Times New Roman" w:hint="eastAsia"/>
          <w:b/>
          <w:szCs w:val="21"/>
        </w:rPr>
        <w:t>附件</w:t>
      </w:r>
      <w:r w:rsidR="00462D52">
        <w:rPr>
          <w:rFonts w:ascii="Times New Roman" w:hAnsi="Times New Roman" w:hint="eastAsia"/>
          <w:b/>
          <w:szCs w:val="21"/>
        </w:rPr>
        <w:t>2</w:t>
      </w:r>
    </w:p>
    <w:p w14:paraId="2A1546C5" w14:textId="77777777" w:rsidR="00DC0637" w:rsidRDefault="00462D52">
      <w:pPr>
        <w:spacing w:line="440" w:lineRule="exact"/>
        <w:jc w:val="center"/>
        <w:rPr>
          <w:rFonts w:ascii="黑体" w:eastAsia="黑体" w:hAnsi="Times New Roman"/>
          <w:sz w:val="30"/>
          <w:szCs w:val="30"/>
        </w:rPr>
      </w:pPr>
      <w:r>
        <w:rPr>
          <w:rFonts w:ascii="黑体" w:eastAsia="黑体" w:hAnsi="Times New Roman" w:hint="eastAsia"/>
          <w:sz w:val="30"/>
          <w:szCs w:val="30"/>
        </w:rPr>
        <w:t>经营者集中简易案件公示表</w:t>
      </w:r>
    </w:p>
    <w:p w14:paraId="0D48AF83" w14:textId="77777777" w:rsidR="00DC0637" w:rsidRDefault="00DC0637">
      <w:pPr>
        <w:spacing w:line="440" w:lineRule="exact"/>
        <w:rPr>
          <w:rFonts w:ascii="黑体" w:eastAsia="黑体" w:hAnsi="Times New Roman"/>
          <w:sz w:val="28"/>
          <w:szCs w:val="28"/>
        </w:rPr>
      </w:pPr>
    </w:p>
    <w:p w14:paraId="3881F40E" w14:textId="77777777" w:rsidR="00DC0637" w:rsidRDefault="00DC0637">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14"/>
        <w:gridCol w:w="4935"/>
      </w:tblGrid>
      <w:tr w:rsidR="00DC0637" w14:paraId="0FB92C74" w14:textId="77777777">
        <w:tc>
          <w:tcPr>
            <w:tcW w:w="1809" w:type="dxa"/>
            <w:shd w:val="clear" w:color="auto" w:fill="D9D9D9"/>
            <w:vAlign w:val="center"/>
          </w:tcPr>
          <w:p w14:paraId="6C7C9127"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案件名称</w:t>
            </w:r>
          </w:p>
        </w:tc>
        <w:tc>
          <w:tcPr>
            <w:tcW w:w="6949" w:type="dxa"/>
            <w:gridSpan w:val="2"/>
          </w:tcPr>
          <w:p w14:paraId="01D97DBB" w14:textId="3920F267" w:rsidR="00DC0637" w:rsidRDefault="00B54DFF">
            <w:pPr>
              <w:tabs>
                <w:tab w:val="left" w:pos="1800"/>
              </w:tabs>
              <w:spacing w:line="360" w:lineRule="auto"/>
              <w:rPr>
                <w:rFonts w:ascii="仿宋" w:eastAsia="仿宋" w:hAnsi="仿宋" w:cs="宋体"/>
                <w:color w:val="333333"/>
                <w:kern w:val="0"/>
                <w:sz w:val="24"/>
                <w:szCs w:val="24"/>
              </w:rPr>
            </w:pPr>
            <w:r w:rsidRPr="00B54DFF">
              <w:rPr>
                <w:rFonts w:ascii="仿宋" w:eastAsia="仿宋" w:hAnsi="仿宋" w:cs="宋体" w:hint="eastAsia"/>
                <w:color w:val="333333"/>
                <w:kern w:val="0"/>
                <w:sz w:val="24"/>
                <w:szCs w:val="24"/>
              </w:rPr>
              <w:t>中集世联达物流科技（集团）股份有限公司收购安达顺（深圳）供应链有限公司股权案</w:t>
            </w:r>
          </w:p>
        </w:tc>
      </w:tr>
      <w:tr w:rsidR="00DC0637" w:rsidRPr="00286810" w14:paraId="03935D4E" w14:textId="77777777">
        <w:trPr>
          <w:trHeight w:val="993"/>
        </w:trPr>
        <w:tc>
          <w:tcPr>
            <w:tcW w:w="1809" w:type="dxa"/>
            <w:shd w:val="clear" w:color="auto" w:fill="D9D9D9"/>
            <w:vAlign w:val="center"/>
          </w:tcPr>
          <w:p w14:paraId="4DEB167D"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交易概况</w:t>
            </w:r>
          </w:p>
          <w:p w14:paraId="4ECA9AAB"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（限200字内）</w:t>
            </w:r>
          </w:p>
        </w:tc>
        <w:tc>
          <w:tcPr>
            <w:tcW w:w="6949" w:type="dxa"/>
            <w:gridSpan w:val="2"/>
          </w:tcPr>
          <w:p w14:paraId="4D9C631E" w14:textId="125E7CD3" w:rsidR="00DC0637" w:rsidRPr="00981FC0" w:rsidRDefault="00251EC3" w:rsidP="00981FC0">
            <w:pPr>
              <w:spacing w:line="360" w:lineRule="auto"/>
              <w:rPr>
                <w:rFonts w:ascii="仿宋" w:eastAsia="仿宋" w:hAnsi="仿宋" w:cs="宋体"/>
                <w:color w:val="333333"/>
                <w:kern w:val="0"/>
                <w:sz w:val="24"/>
                <w:szCs w:val="24"/>
              </w:rPr>
            </w:pPr>
            <w:r w:rsidRPr="00251EC3">
              <w:rPr>
                <w:rFonts w:ascii="仿宋" w:eastAsia="仿宋" w:hAnsi="仿宋" w:cs="宋体" w:hint="eastAsia"/>
                <w:color w:val="333333"/>
                <w:kern w:val="0"/>
                <w:sz w:val="24"/>
                <w:szCs w:val="24"/>
              </w:rPr>
              <w:t>自然人</w:t>
            </w:r>
            <w:bookmarkStart w:id="0" w:name="_Hlk79142687"/>
            <w:r w:rsidRPr="00251EC3">
              <w:rPr>
                <w:rFonts w:ascii="仿宋" w:eastAsia="仿宋" w:hAnsi="仿宋" w:cs="宋体" w:hint="eastAsia"/>
                <w:color w:val="333333"/>
                <w:kern w:val="0"/>
                <w:sz w:val="24"/>
                <w:szCs w:val="24"/>
              </w:rPr>
              <w:t>杨振宇目前实际控制安达顺（深圳）供应链有限公司（“安达顺供应链”）、深圳市安达顺国际物流有限公司等多家公司（“原安达顺集团”）</w:t>
            </w:r>
            <w:bookmarkEnd w:id="0"/>
            <w:r w:rsidRPr="00251EC3">
              <w:rPr>
                <w:rFonts w:ascii="仿宋" w:eastAsia="仿宋" w:hAnsi="仿宋" w:cs="宋体" w:hint="eastAsia"/>
                <w:color w:val="333333"/>
                <w:kern w:val="0"/>
                <w:sz w:val="24"/>
                <w:szCs w:val="24"/>
              </w:rPr>
              <w:t>。中集世联达物流科技（集团）股份有限公司（“中集世联达”）拟通过现金增资和老股转让的方式取得</w:t>
            </w:r>
            <w:r w:rsidRPr="00AC3DAA">
              <w:rPr>
                <w:rFonts w:ascii="仿宋" w:eastAsia="仿宋" w:hAnsi="仿宋" w:cs="宋体" w:hint="eastAsia"/>
                <w:color w:val="333333"/>
                <w:kern w:val="0"/>
                <w:sz w:val="24"/>
                <w:szCs w:val="24"/>
              </w:rPr>
              <w:t>安达顺（深圳）供应链有限公司</w:t>
            </w:r>
            <w:r>
              <w:rPr>
                <w:rFonts w:ascii="仿宋" w:eastAsia="仿宋" w:hAnsi="仿宋" w:cs="宋体" w:hint="eastAsia"/>
                <w:color w:val="333333"/>
                <w:kern w:val="0"/>
                <w:sz w:val="24"/>
                <w:szCs w:val="24"/>
              </w:rPr>
              <w:t>（“</w:t>
            </w:r>
            <w:r w:rsidRPr="00B54DFF">
              <w:rPr>
                <w:rFonts w:ascii="仿宋" w:eastAsia="仿宋" w:hAnsi="仿宋" w:cs="宋体" w:hint="eastAsia"/>
                <w:color w:val="333333"/>
                <w:kern w:val="0"/>
                <w:sz w:val="24"/>
                <w:szCs w:val="24"/>
              </w:rPr>
              <w:t>安达顺供应链</w:t>
            </w:r>
            <w:r>
              <w:rPr>
                <w:rFonts w:ascii="仿宋" w:eastAsia="仿宋" w:hAnsi="仿宋" w:cs="宋体" w:hint="eastAsia"/>
                <w:color w:val="333333"/>
                <w:kern w:val="0"/>
                <w:sz w:val="24"/>
                <w:szCs w:val="24"/>
              </w:rPr>
              <w:t>”）</w:t>
            </w:r>
            <w:r w:rsidRPr="00251EC3">
              <w:rPr>
                <w:rFonts w:ascii="仿宋" w:eastAsia="仿宋" w:hAnsi="仿宋" w:cs="宋体"/>
                <w:color w:val="333333"/>
                <w:kern w:val="0"/>
                <w:sz w:val="24"/>
                <w:szCs w:val="24"/>
              </w:rPr>
              <w:t>60%</w:t>
            </w:r>
            <w:r w:rsidRPr="00251EC3">
              <w:rPr>
                <w:rFonts w:ascii="仿宋" w:eastAsia="仿宋" w:hAnsi="仿宋" w:cs="宋体" w:hint="eastAsia"/>
                <w:color w:val="333333"/>
                <w:kern w:val="0"/>
                <w:sz w:val="24"/>
                <w:szCs w:val="24"/>
              </w:rPr>
              <w:t>的股权，并且原安达顺集团的主营业务拟全部转移至安达顺供应链。交易完成后，</w:t>
            </w:r>
            <w:r w:rsidR="003F3F26">
              <w:rPr>
                <w:rFonts w:ascii="仿宋" w:eastAsia="仿宋" w:hAnsi="仿宋" w:cs="宋体" w:hint="eastAsia"/>
                <w:color w:val="333333"/>
                <w:kern w:val="0"/>
                <w:sz w:val="24"/>
                <w:szCs w:val="24"/>
              </w:rPr>
              <w:t>安达顺供应链将由</w:t>
            </w:r>
            <w:r w:rsidRPr="00251EC3">
              <w:rPr>
                <w:rFonts w:ascii="仿宋" w:eastAsia="仿宋" w:hAnsi="仿宋" w:cs="宋体" w:hint="eastAsia"/>
                <w:color w:val="333333"/>
                <w:kern w:val="0"/>
                <w:sz w:val="24"/>
                <w:szCs w:val="24"/>
              </w:rPr>
              <w:t>中集世联达</w:t>
            </w:r>
            <w:r w:rsidR="003F3F26">
              <w:rPr>
                <w:rFonts w:ascii="仿宋" w:eastAsia="仿宋" w:hAnsi="仿宋" w:cs="宋体" w:hint="eastAsia"/>
                <w:color w:val="333333"/>
                <w:kern w:val="0"/>
                <w:sz w:val="24"/>
                <w:szCs w:val="24"/>
              </w:rPr>
              <w:t>和</w:t>
            </w:r>
            <w:r w:rsidRPr="00251EC3">
              <w:rPr>
                <w:rFonts w:ascii="仿宋" w:eastAsia="仿宋" w:hAnsi="仿宋" w:cs="宋体" w:hint="eastAsia"/>
                <w:color w:val="333333"/>
                <w:kern w:val="0"/>
                <w:sz w:val="24"/>
                <w:szCs w:val="24"/>
              </w:rPr>
              <w:t>杨振宇</w:t>
            </w:r>
            <w:r w:rsidR="003F3F26">
              <w:rPr>
                <w:rFonts w:ascii="仿宋" w:eastAsia="仿宋" w:hAnsi="仿宋" w:cs="宋体" w:hint="eastAsia"/>
                <w:color w:val="333333"/>
                <w:kern w:val="0"/>
                <w:sz w:val="24"/>
                <w:szCs w:val="24"/>
              </w:rPr>
              <w:t>共同控制。</w:t>
            </w:r>
          </w:p>
        </w:tc>
      </w:tr>
      <w:tr w:rsidR="00187366" w14:paraId="3B0EE10B" w14:textId="77777777" w:rsidTr="008F31FC">
        <w:trPr>
          <w:trHeight w:val="468"/>
        </w:trPr>
        <w:tc>
          <w:tcPr>
            <w:tcW w:w="1809" w:type="dxa"/>
            <w:vMerge w:val="restart"/>
            <w:shd w:val="clear" w:color="auto" w:fill="D9D9D9"/>
            <w:vAlign w:val="center"/>
          </w:tcPr>
          <w:p w14:paraId="476F1FED" w14:textId="77777777" w:rsidR="00187366" w:rsidRDefault="00187366">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参与集中的</w:t>
            </w:r>
          </w:p>
          <w:p w14:paraId="0D288F7B" w14:textId="77777777" w:rsidR="00187366" w:rsidRDefault="00187366">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经营者简介</w:t>
            </w:r>
          </w:p>
        </w:tc>
        <w:tc>
          <w:tcPr>
            <w:tcW w:w="2014" w:type="dxa"/>
          </w:tcPr>
          <w:p w14:paraId="681526FD" w14:textId="737869A1" w:rsidR="00187366" w:rsidRDefault="00187366">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1、</w:t>
            </w:r>
            <w:r w:rsidR="00876D9F">
              <w:rPr>
                <w:rFonts w:ascii="仿宋" w:eastAsia="仿宋" w:hAnsi="仿宋" w:cs="宋体" w:hint="eastAsia"/>
                <w:color w:val="333333"/>
                <w:kern w:val="0"/>
                <w:sz w:val="24"/>
                <w:szCs w:val="24"/>
              </w:rPr>
              <w:t>中集世联达</w:t>
            </w:r>
          </w:p>
        </w:tc>
        <w:tc>
          <w:tcPr>
            <w:tcW w:w="4935" w:type="dxa"/>
          </w:tcPr>
          <w:p w14:paraId="0E85B8CA" w14:textId="0D08BDC9" w:rsidR="00187366" w:rsidRPr="00772C46" w:rsidRDefault="00187366" w:rsidP="00187366">
            <w:pPr>
              <w:spacing w:line="360" w:lineRule="auto"/>
              <w:rPr>
                <w:rFonts w:ascii="仿宋" w:eastAsia="仿宋" w:hAnsi="仿宋" w:cs="宋体"/>
                <w:color w:val="333333"/>
                <w:kern w:val="0"/>
                <w:sz w:val="24"/>
                <w:szCs w:val="24"/>
              </w:rPr>
            </w:pPr>
            <w:r w:rsidRPr="008F442B">
              <w:rPr>
                <w:rFonts w:ascii="仿宋" w:eastAsia="仿宋" w:hAnsi="仿宋" w:cs="宋体" w:hint="eastAsia"/>
                <w:color w:val="333333"/>
                <w:kern w:val="0"/>
                <w:sz w:val="24"/>
                <w:szCs w:val="24"/>
              </w:rPr>
              <w:t>公司</w:t>
            </w:r>
            <w:r>
              <w:rPr>
                <w:rFonts w:ascii="仿宋" w:eastAsia="仿宋" w:hAnsi="仿宋" w:cs="宋体" w:hint="eastAsia"/>
                <w:color w:val="333333"/>
                <w:kern w:val="0"/>
                <w:sz w:val="24"/>
                <w:szCs w:val="24"/>
              </w:rPr>
              <w:t>成立于</w:t>
            </w:r>
            <w:r w:rsidR="00772C46">
              <w:rPr>
                <w:rFonts w:ascii="仿宋" w:eastAsia="仿宋" w:hAnsi="仿宋" w:cs="宋体"/>
                <w:color w:val="333333"/>
                <w:kern w:val="0"/>
                <w:sz w:val="24"/>
                <w:szCs w:val="24"/>
              </w:rPr>
              <w:t>2014</w:t>
            </w:r>
            <w:r w:rsidR="00DD5BAC" w:rsidRPr="00DD5BAC">
              <w:rPr>
                <w:rFonts w:ascii="仿宋" w:eastAsia="仿宋" w:hAnsi="仿宋" w:cs="宋体"/>
                <w:color w:val="333333"/>
                <w:kern w:val="0"/>
                <w:sz w:val="24"/>
                <w:szCs w:val="24"/>
              </w:rPr>
              <w:t>年</w:t>
            </w:r>
            <w:r w:rsidR="00772C46">
              <w:rPr>
                <w:rFonts w:ascii="仿宋" w:eastAsia="仿宋" w:hAnsi="仿宋" w:cs="宋体"/>
                <w:color w:val="333333"/>
                <w:kern w:val="0"/>
                <w:sz w:val="24"/>
                <w:szCs w:val="24"/>
              </w:rPr>
              <w:t>3</w:t>
            </w:r>
            <w:r w:rsidR="00DD5BAC" w:rsidRPr="00DD5BAC">
              <w:rPr>
                <w:rFonts w:ascii="仿宋" w:eastAsia="仿宋" w:hAnsi="仿宋" w:cs="宋体"/>
                <w:color w:val="333333"/>
                <w:kern w:val="0"/>
                <w:sz w:val="24"/>
                <w:szCs w:val="24"/>
              </w:rPr>
              <w:t>月</w:t>
            </w:r>
            <w:r w:rsidR="00772C46">
              <w:rPr>
                <w:rFonts w:ascii="仿宋" w:eastAsia="仿宋" w:hAnsi="仿宋" w:cs="宋体"/>
                <w:color w:val="333333"/>
                <w:kern w:val="0"/>
                <w:sz w:val="24"/>
                <w:szCs w:val="24"/>
              </w:rPr>
              <w:t>12</w:t>
            </w:r>
            <w:r w:rsidR="00DD5BAC" w:rsidRPr="00DD5BAC">
              <w:rPr>
                <w:rFonts w:ascii="仿宋" w:eastAsia="仿宋" w:hAnsi="仿宋" w:cs="宋体"/>
                <w:color w:val="333333"/>
                <w:kern w:val="0"/>
                <w:sz w:val="24"/>
                <w:szCs w:val="24"/>
              </w:rPr>
              <w:t>日</w:t>
            </w:r>
            <w:r>
              <w:rPr>
                <w:rFonts w:ascii="仿宋" w:eastAsia="仿宋" w:hAnsi="仿宋" w:cs="宋体" w:hint="eastAsia"/>
                <w:color w:val="333333"/>
                <w:kern w:val="0"/>
                <w:sz w:val="24"/>
                <w:szCs w:val="24"/>
              </w:rPr>
              <w:t>，注册地址为</w:t>
            </w:r>
            <w:r w:rsidR="00772C46" w:rsidRPr="00772C46">
              <w:rPr>
                <w:rFonts w:ascii="仿宋" w:eastAsia="仿宋" w:hAnsi="仿宋" w:cs="宋体" w:hint="eastAsia"/>
                <w:color w:val="333333"/>
                <w:kern w:val="0"/>
                <w:sz w:val="24"/>
                <w:szCs w:val="24"/>
              </w:rPr>
              <w:t>天津经济技术开发区南港工业区综合服务区办公楼</w:t>
            </w:r>
            <w:r w:rsidR="00772C46" w:rsidRPr="00772C46">
              <w:rPr>
                <w:rFonts w:ascii="仿宋" w:eastAsia="仿宋" w:hAnsi="仿宋" w:cs="宋体"/>
                <w:color w:val="333333"/>
                <w:kern w:val="0"/>
                <w:sz w:val="24"/>
                <w:szCs w:val="24"/>
              </w:rPr>
              <w:t>C座二层213-01室</w:t>
            </w:r>
            <w:r>
              <w:rPr>
                <w:rFonts w:ascii="仿宋" w:eastAsia="仿宋" w:hAnsi="仿宋" w:cs="宋体" w:hint="eastAsia"/>
                <w:color w:val="333333"/>
                <w:kern w:val="0"/>
                <w:sz w:val="24"/>
                <w:szCs w:val="24"/>
              </w:rPr>
              <w:t>，公司</w:t>
            </w:r>
            <w:r w:rsidR="004E144F">
              <w:rPr>
                <w:rFonts w:ascii="仿宋" w:eastAsia="仿宋" w:hAnsi="仿宋" w:cs="宋体" w:hint="eastAsia"/>
                <w:color w:val="333333"/>
                <w:kern w:val="0"/>
                <w:sz w:val="24"/>
                <w:szCs w:val="24"/>
              </w:rPr>
              <w:t>主要从事</w:t>
            </w:r>
            <w:r w:rsidR="00772C46" w:rsidRPr="00772C46">
              <w:rPr>
                <w:rFonts w:ascii="仿宋" w:eastAsia="仿宋" w:hAnsi="仿宋" w:cs="宋体" w:hint="eastAsia"/>
                <w:color w:val="333333"/>
                <w:kern w:val="0"/>
                <w:sz w:val="24"/>
                <w:szCs w:val="24"/>
              </w:rPr>
              <w:t>集装箱服务</w:t>
            </w:r>
            <w:r w:rsidR="00772C46">
              <w:rPr>
                <w:rFonts w:ascii="仿宋" w:eastAsia="仿宋" w:hAnsi="仿宋" w:cs="宋体" w:hint="eastAsia"/>
                <w:color w:val="333333"/>
                <w:kern w:val="0"/>
                <w:sz w:val="24"/>
                <w:szCs w:val="24"/>
              </w:rPr>
              <w:t>和</w:t>
            </w:r>
            <w:r w:rsidR="00772C46" w:rsidRPr="00772C46">
              <w:rPr>
                <w:rFonts w:ascii="仿宋" w:eastAsia="仿宋" w:hAnsi="仿宋" w:cs="宋体" w:hint="eastAsia"/>
                <w:color w:val="333333"/>
                <w:kern w:val="0"/>
                <w:sz w:val="24"/>
                <w:szCs w:val="24"/>
              </w:rPr>
              <w:t>国际货运代理</w:t>
            </w:r>
            <w:r w:rsidR="00772C46">
              <w:rPr>
                <w:rFonts w:ascii="仿宋" w:eastAsia="仿宋" w:hAnsi="仿宋" w:cs="宋体" w:hint="eastAsia"/>
                <w:color w:val="333333"/>
                <w:kern w:val="0"/>
                <w:sz w:val="24"/>
                <w:szCs w:val="24"/>
              </w:rPr>
              <w:t>等。</w:t>
            </w:r>
          </w:p>
        </w:tc>
      </w:tr>
      <w:tr w:rsidR="008F31FC" w14:paraId="53455478" w14:textId="77777777" w:rsidTr="008F31FC">
        <w:trPr>
          <w:trHeight w:val="1487"/>
        </w:trPr>
        <w:tc>
          <w:tcPr>
            <w:tcW w:w="1809" w:type="dxa"/>
            <w:vMerge/>
            <w:shd w:val="clear" w:color="auto" w:fill="D9D9D9"/>
            <w:vAlign w:val="center"/>
          </w:tcPr>
          <w:p w14:paraId="44DC3DA9" w14:textId="77777777" w:rsidR="008F31FC" w:rsidRDefault="008F31FC">
            <w:pPr>
              <w:spacing w:line="360" w:lineRule="auto"/>
              <w:jc w:val="center"/>
              <w:rPr>
                <w:rFonts w:ascii="仿宋" w:eastAsia="仿宋" w:hAnsi="仿宋" w:cs="宋体"/>
                <w:color w:val="333333"/>
                <w:kern w:val="0"/>
                <w:sz w:val="24"/>
                <w:szCs w:val="24"/>
              </w:rPr>
            </w:pPr>
          </w:p>
        </w:tc>
        <w:tc>
          <w:tcPr>
            <w:tcW w:w="2014" w:type="dxa"/>
          </w:tcPr>
          <w:p w14:paraId="50364DFE" w14:textId="495B1E29" w:rsidR="008F31FC" w:rsidRDefault="008F31FC">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sidR="00772C46">
              <w:rPr>
                <w:rFonts w:ascii="仿宋" w:eastAsia="仿宋" w:hAnsi="仿宋" w:cs="宋体" w:hint="eastAsia"/>
                <w:color w:val="333333"/>
                <w:kern w:val="0"/>
                <w:sz w:val="24"/>
                <w:szCs w:val="24"/>
              </w:rPr>
              <w:t>杨振宇</w:t>
            </w:r>
          </w:p>
        </w:tc>
        <w:tc>
          <w:tcPr>
            <w:tcW w:w="4935" w:type="dxa"/>
          </w:tcPr>
          <w:p w14:paraId="0EAB0E03" w14:textId="4713C01B" w:rsidR="008F31FC" w:rsidRPr="00772C46" w:rsidRDefault="00772C46" w:rsidP="00AC3DAA">
            <w:pPr>
              <w:spacing w:line="360" w:lineRule="auto"/>
              <w:rPr>
                <w:rFonts w:ascii="仿宋" w:eastAsia="仿宋" w:hAnsi="仿宋" w:cs="宋体"/>
                <w:color w:val="333333"/>
                <w:kern w:val="0"/>
                <w:sz w:val="24"/>
                <w:szCs w:val="24"/>
              </w:rPr>
            </w:pPr>
            <w:r w:rsidRPr="00772C46">
              <w:rPr>
                <w:rFonts w:ascii="仿宋" w:eastAsia="仿宋" w:hAnsi="仿宋" w:cs="宋体" w:hint="eastAsia"/>
                <w:color w:val="333333"/>
                <w:kern w:val="0"/>
                <w:sz w:val="24"/>
                <w:szCs w:val="24"/>
              </w:rPr>
              <w:t>自然人杨振宇实际控制的所有实体的主营业务为国际航空货物运输代理服务。</w:t>
            </w:r>
          </w:p>
        </w:tc>
      </w:tr>
      <w:tr w:rsidR="00DC0637" w14:paraId="6173A31D" w14:textId="77777777">
        <w:trPr>
          <w:trHeight w:val="279"/>
        </w:trPr>
        <w:tc>
          <w:tcPr>
            <w:tcW w:w="1809" w:type="dxa"/>
            <w:vMerge w:val="restart"/>
            <w:shd w:val="clear" w:color="auto" w:fill="D9D9D9"/>
            <w:vAlign w:val="center"/>
          </w:tcPr>
          <w:p w14:paraId="25C64F18"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简易案件理由（可以单选，也可以多选）</w:t>
            </w:r>
          </w:p>
        </w:tc>
        <w:tc>
          <w:tcPr>
            <w:tcW w:w="6949" w:type="dxa"/>
            <w:gridSpan w:val="2"/>
          </w:tcPr>
          <w:p w14:paraId="43D51AD8" w14:textId="6EFD9763" w:rsidR="00DC0637" w:rsidRDefault="004C2F55">
            <w:pPr>
              <w:spacing w:line="360" w:lineRule="auto"/>
              <w:rPr>
                <w:rFonts w:ascii="仿宋" w:eastAsia="仿宋" w:hAnsi="仿宋" w:cs="宋体"/>
                <w:color w:val="333333"/>
                <w:kern w:val="0"/>
                <w:sz w:val="24"/>
                <w:szCs w:val="24"/>
              </w:rPr>
            </w:pPr>
            <w:r w:rsidRPr="004C2F55">
              <w:rPr>
                <w:rFonts w:ascii="仿宋" w:eastAsia="仿宋" w:hAnsi="仿宋" w:cs="宋体" w:hint="eastAsia"/>
                <w:color w:val="333333"/>
                <w:kern w:val="0"/>
                <w:sz w:val="24"/>
                <w:szCs w:val="24"/>
              </w:rPr>
              <w:sym w:font="Wingdings" w:char="00FE"/>
            </w:r>
            <w:r w:rsidR="00462D52">
              <w:rPr>
                <w:rFonts w:ascii="仿宋" w:eastAsia="仿宋" w:hAnsi="仿宋" w:cs="宋体" w:hint="eastAsia"/>
                <w:color w:val="333333"/>
                <w:kern w:val="0"/>
                <w:sz w:val="24"/>
                <w:szCs w:val="24"/>
              </w:rPr>
              <w:t>1.在同一相关市场，所有参与集中的经营者所占市场份额之和小于15%。</w:t>
            </w:r>
          </w:p>
        </w:tc>
      </w:tr>
      <w:tr w:rsidR="00DC0637" w14:paraId="70FC33AD" w14:textId="77777777">
        <w:trPr>
          <w:trHeight w:val="330"/>
        </w:trPr>
        <w:tc>
          <w:tcPr>
            <w:tcW w:w="1809" w:type="dxa"/>
            <w:vMerge/>
            <w:shd w:val="clear" w:color="auto" w:fill="D9D9D9"/>
            <w:vAlign w:val="center"/>
          </w:tcPr>
          <w:p w14:paraId="2C4576CA"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7FEAE265" w14:textId="7A25D93A" w:rsidR="00DC0637" w:rsidRDefault="004C2030">
            <w:pPr>
              <w:spacing w:line="360" w:lineRule="auto"/>
              <w:rPr>
                <w:rFonts w:ascii="仿宋" w:eastAsia="仿宋" w:hAnsi="仿宋" w:cs="宋体"/>
                <w:color w:val="333333"/>
                <w:kern w:val="0"/>
                <w:sz w:val="24"/>
                <w:szCs w:val="24"/>
              </w:rPr>
            </w:pPr>
            <w:r w:rsidRPr="004C2030">
              <w:rPr>
                <w:rFonts w:ascii="仿宋" w:eastAsia="仿宋" w:hAnsi="仿宋" w:cs="宋体" w:hint="eastAsia"/>
                <w:color w:val="333333"/>
                <w:kern w:val="0"/>
                <w:sz w:val="24"/>
                <w:szCs w:val="24"/>
              </w:rPr>
              <w:t>□</w:t>
            </w:r>
            <w:r w:rsidR="00462D52">
              <w:rPr>
                <w:rFonts w:ascii="仿宋" w:eastAsia="仿宋" w:hAnsi="仿宋" w:cs="宋体" w:hint="eastAsia"/>
                <w:color w:val="333333"/>
                <w:kern w:val="0"/>
                <w:sz w:val="24"/>
                <w:szCs w:val="24"/>
              </w:rPr>
              <w:t>2.存在上下游关系的参与集中的经营者，在上下游市场所占的市场份额均小于25%。</w:t>
            </w:r>
          </w:p>
        </w:tc>
      </w:tr>
      <w:tr w:rsidR="00DC0637" w14:paraId="71C4AB00" w14:textId="77777777">
        <w:trPr>
          <w:trHeight w:val="285"/>
        </w:trPr>
        <w:tc>
          <w:tcPr>
            <w:tcW w:w="1809" w:type="dxa"/>
            <w:vMerge/>
            <w:shd w:val="clear" w:color="auto" w:fill="D9D9D9"/>
            <w:vAlign w:val="center"/>
          </w:tcPr>
          <w:p w14:paraId="16575EC6"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30DB8D33" w14:textId="77777777" w:rsidR="00DC0637"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□3.不在同一相关市场、也不存在上下游关系的参与集中的经营者，在与交易有关的每个市场所占的份额均小于25%。</w:t>
            </w:r>
          </w:p>
        </w:tc>
      </w:tr>
      <w:tr w:rsidR="00DC0637" w14:paraId="28936EDA" w14:textId="77777777">
        <w:trPr>
          <w:trHeight w:val="870"/>
        </w:trPr>
        <w:tc>
          <w:tcPr>
            <w:tcW w:w="1809" w:type="dxa"/>
            <w:vMerge/>
            <w:shd w:val="clear" w:color="auto" w:fill="D9D9D9"/>
            <w:vAlign w:val="center"/>
          </w:tcPr>
          <w:p w14:paraId="20E11829"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7668ABCB" w14:textId="77777777" w:rsidR="00DC0637"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□4.参与集中的经营者在中国境外设立合营企业，合营企业不在中国境内从事经济活动。</w:t>
            </w:r>
          </w:p>
        </w:tc>
      </w:tr>
      <w:tr w:rsidR="00DC0637" w14:paraId="7B1C4E4E" w14:textId="77777777">
        <w:trPr>
          <w:trHeight w:val="264"/>
        </w:trPr>
        <w:tc>
          <w:tcPr>
            <w:tcW w:w="1809" w:type="dxa"/>
            <w:vMerge/>
            <w:shd w:val="clear" w:color="auto" w:fill="D9D9D9"/>
            <w:vAlign w:val="center"/>
          </w:tcPr>
          <w:p w14:paraId="3B106E72"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0069EFAC" w14:textId="77777777" w:rsidR="00DC0637"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□5.参与集中的经营者收购境外企业股权或资产的，该境外企业</w:t>
            </w:r>
            <w:r>
              <w:rPr>
                <w:rFonts w:ascii="仿宋" w:eastAsia="仿宋" w:hAnsi="仿宋" w:cs="宋体" w:hint="eastAsia"/>
                <w:color w:val="333333"/>
                <w:kern w:val="0"/>
                <w:sz w:val="24"/>
                <w:szCs w:val="24"/>
              </w:rPr>
              <w:lastRenderedPageBreak/>
              <w:t>不在中国境内从事经济活动。</w:t>
            </w:r>
          </w:p>
        </w:tc>
      </w:tr>
      <w:tr w:rsidR="00DC0637" w14:paraId="0E22773A" w14:textId="77777777">
        <w:trPr>
          <w:trHeight w:val="345"/>
        </w:trPr>
        <w:tc>
          <w:tcPr>
            <w:tcW w:w="1809" w:type="dxa"/>
            <w:vMerge/>
            <w:shd w:val="clear" w:color="auto" w:fill="D9D9D9"/>
            <w:vAlign w:val="center"/>
          </w:tcPr>
          <w:p w14:paraId="07F508B7"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5E5C1870" w14:textId="77777777" w:rsidR="00DC0637" w:rsidRDefault="00C41237">
            <w:pPr>
              <w:spacing w:line="360" w:lineRule="auto"/>
              <w:rPr>
                <w:rFonts w:ascii="仿宋" w:eastAsia="仿宋" w:hAnsi="仿宋" w:cs="宋体"/>
                <w:color w:val="333333"/>
                <w:kern w:val="0"/>
                <w:sz w:val="24"/>
                <w:szCs w:val="24"/>
              </w:rPr>
            </w:pPr>
            <w:r w:rsidRPr="00C41237">
              <w:rPr>
                <w:rFonts w:ascii="仿宋" w:eastAsia="仿宋" w:hAnsi="仿宋" w:cs="宋体" w:hint="eastAsia"/>
                <w:color w:val="333333"/>
                <w:kern w:val="0"/>
                <w:sz w:val="24"/>
                <w:szCs w:val="24"/>
              </w:rPr>
              <w:t>□</w:t>
            </w:r>
            <w:r w:rsidR="00462D52">
              <w:rPr>
                <w:rFonts w:ascii="仿宋" w:eastAsia="仿宋" w:hAnsi="仿宋" w:cs="宋体" w:hint="eastAsia"/>
                <w:color w:val="333333"/>
                <w:kern w:val="0"/>
                <w:sz w:val="24"/>
                <w:szCs w:val="24"/>
              </w:rPr>
              <w:t>6.由两个以上的经营者共同控制的合营企业，通过集中被其中一个或一个以上经营者控制。</w:t>
            </w:r>
          </w:p>
        </w:tc>
      </w:tr>
      <w:tr w:rsidR="00DC0637" w14:paraId="01C33DE9" w14:textId="77777777">
        <w:tc>
          <w:tcPr>
            <w:tcW w:w="1809" w:type="dxa"/>
            <w:shd w:val="clear" w:color="auto" w:fill="D9D9D9"/>
            <w:vAlign w:val="center"/>
          </w:tcPr>
          <w:p w14:paraId="5B44AD2F"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备注</w:t>
            </w:r>
          </w:p>
        </w:tc>
        <w:tc>
          <w:tcPr>
            <w:tcW w:w="6949" w:type="dxa"/>
            <w:gridSpan w:val="2"/>
          </w:tcPr>
          <w:p w14:paraId="64F85FA0" w14:textId="42A0895D" w:rsidR="004D4B4C"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相关</w:t>
            </w:r>
            <w:r w:rsidR="0037080C">
              <w:rPr>
                <w:rFonts w:ascii="仿宋" w:eastAsia="仿宋" w:hAnsi="仿宋" w:cs="宋体" w:hint="eastAsia"/>
                <w:color w:val="333333"/>
                <w:kern w:val="0"/>
                <w:sz w:val="24"/>
                <w:szCs w:val="24"/>
              </w:rPr>
              <w:t>商品</w:t>
            </w:r>
            <w:r>
              <w:rPr>
                <w:rFonts w:ascii="仿宋" w:eastAsia="仿宋" w:hAnsi="仿宋" w:cs="宋体" w:hint="eastAsia"/>
                <w:color w:val="333333"/>
                <w:kern w:val="0"/>
                <w:sz w:val="24"/>
                <w:szCs w:val="24"/>
              </w:rPr>
              <w:t>市场</w:t>
            </w:r>
            <w:r w:rsidR="00C41237">
              <w:rPr>
                <w:rFonts w:ascii="仿宋" w:eastAsia="仿宋" w:hAnsi="仿宋" w:cs="宋体" w:hint="eastAsia"/>
                <w:color w:val="333333"/>
                <w:kern w:val="0"/>
                <w:sz w:val="24"/>
                <w:szCs w:val="24"/>
              </w:rPr>
              <w:t>及市场份额</w:t>
            </w:r>
            <w:r>
              <w:rPr>
                <w:rFonts w:ascii="仿宋" w:eastAsia="仿宋" w:hAnsi="仿宋" w:cs="宋体" w:hint="eastAsia"/>
                <w:color w:val="333333"/>
                <w:kern w:val="0"/>
                <w:sz w:val="24"/>
                <w:szCs w:val="24"/>
              </w:rPr>
              <w:t>：</w:t>
            </w:r>
          </w:p>
          <w:p w14:paraId="540375E5" w14:textId="1DBE2B9F" w:rsidR="00C41237" w:rsidRDefault="00C41237">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1</w:t>
            </w:r>
            <w:r>
              <w:rPr>
                <w:rFonts w:ascii="仿宋" w:eastAsia="仿宋" w:hAnsi="仿宋" w:cs="宋体"/>
                <w:color w:val="333333"/>
                <w:kern w:val="0"/>
                <w:sz w:val="24"/>
                <w:szCs w:val="24"/>
              </w:rPr>
              <w:t>.</w:t>
            </w:r>
            <w:r w:rsidR="00E34CF1">
              <w:rPr>
                <w:rFonts w:hint="eastAsia"/>
              </w:rPr>
              <w:t xml:space="preserve"> </w:t>
            </w:r>
            <w:r w:rsidR="00BC0379">
              <w:rPr>
                <w:rFonts w:ascii="仿宋" w:eastAsia="仿宋" w:hAnsi="仿宋" w:cs="宋体" w:hint="eastAsia"/>
                <w:color w:val="333333"/>
                <w:kern w:val="0"/>
                <w:sz w:val="24"/>
                <w:szCs w:val="24"/>
              </w:rPr>
              <w:t>国际航空货物运输代理服务市场</w:t>
            </w:r>
          </w:p>
          <w:p w14:paraId="23CEBE51" w14:textId="45DC5E0B" w:rsidR="00DC0637" w:rsidRDefault="00462D52" w:rsidP="0037080C">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相关地域市场：</w:t>
            </w:r>
            <w:r w:rsidR="00E34CF1">
              <w:rPr>
                <w:rFonts w:ascii="仿宋" w:eastAsia="仿宋" w:hAnsi="仿宋" w:cs="宋体" w:hint="eastAsia"/>
                <w:color w:val="333333"/>
                <w:kern w:val="0"/>
                <w:sz w:val="24"/>
                <w:szCs w:val="24"/>
              </w:rPr>
              <w:t>中国</w:t>
            </w:r>
            <w:r w:rsidR="00BC0379">
              <w:rPr>
                <w:rFonts w:ascii="仿宋" w:eastAsia="仿宋" w:hAnsi="仿宋" w:cs="宋体" w:hint="eastAsia"/>
                <w:color w:val="333333"/>
                <w:kern w:val="0"/>
                <w:sz w:val="24"/>
                <w:szCs w:val="24"/>
              </w:rPr>
              <w:t>境内市场</w:t>
            </w:r>
          </w:p>
          <w:p w14:paraId="0F2EEF5D" w14:textId="676AE87C" w:rsidR="004D4B4C" w:rsidRDefault="002C35B9">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中集世联达</w:t>
            </w:r>
            <w:r w:rsidR="004D4B4C">
              <w:rPr>
                <w:rFonts w:ascii="仿宋" w:eastAsia="仿宋" w:hAnsi="仿宋" w:cs="宋体" w:hint="eastAsia"/>
                <w:color w:val="333333"/>
                <w:kern w:val="0"/>
                <w:sz w:val="24"/>
                <w:szCs w:val="24"/>
              </w:rPr>
              <w:t>：</w:t>
            </w:r>
            <w:r w:rsidR="003C7CDE">
              <w:rPr>
                <w:rFonts w:ascii="仿宋" w:eastAsia="仿宋" w:hAnsi="仿宋" w:cs="宋体" w:hint="eastAsia"/>
                <w:color w:val="333333"/>
                <w:kern w:val="0"/>
                <w:sz w:val="24"/>
                <w:szCs w:val="24"/>
              </w:rPr>
              <w:t>[</w:t>
            </w:r>
            <w:r w:rsidR="003C7CDE">
              <w:rPr>
                <w:rFonts w:ascii="仿宋" w:eastAsia="仿宋" w:hAnsi="仿宋" w:cs="宋体"/>
                <w:color w:val="333333"/>
                <w:kern w:val="0"/>
                <w:sz w:val="24"/>
                <w:szCs w:val="24"/>
              </w:rPr>
              <w:t>0</w:t>
            </w:r>
            <w:r w:rsidR="003C7CDE">
              <w:rPr>
                <w:rFonts w:ascii="仿宋" w:eastAsia="仿宋" w:hAnsi="仿宋" w:cs="宋体" w:hint="eastAsia"/>
                <w:color w:val="333333"/>
                <w:kern w:val="0"/>
                <w:sz w:val="24"/>
                <w:szCs w:val="24"/>
              </w:rPr>
              <w:t>-5]%</w:t>
            </w:r>
          </w:p>
          <w:p w14:paraId="4D67E106" w14:textId="788BB589" w:rsidR="00DC0637" w:rsidRDefault="002C35B9">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原安达顺集团</w:t>
            </w:r>
            <w:r w:rsidR="00462D52">
              <w:rPr>
                <w:rFonts w:ascii="仿宋" w:eastAsia="仿宋" w:hAnsi="仿宋" w:cs="宋体" w:hint="eastAsia"/>
                <w:color w:val="333333"/>
                <w:kern w:val="0"/>
                <w:sz w:val="24"/>
                <w:szCs w:val="24"/>
              </w:rPr>
              <w:t>：[</w:t>
            </w:r>
            <w:r w:rsidR="00E34CF1">
              <w:rPr>
                <w:rFonts w:ascii="仿宋" w:eastAsia="仿宋" w:hAnsi="仿宋" w:cs="宋体"/>
                <w:color w:val="333333"/>
                <w:kern w:val="0"/>
                <w:sz w:val="24"/>
                <w:szCs w:val="24"/>
              </w:rPr>
              <w:t>0</w:t>
            </w:r>
            <w:r w:rsidR="0089518D">
              <w:rPr>
                <w:rFonts w:ascii="仿宋" w:eastAsia="仿宋" w:hAnsi="仿宋" w:cs="宋体" w:hint="eastAsia"/>
                <w:color w:val="333333"/>
                <w:kern w:val="0"/>
                <w:sz w:val="24"/>
                <w:szCs w:val="24"/>
              </w:rPr>
              <w:t>-</w:t>
            </w:r>
            <w:r w:rsidR="00E34CF1">
              <w:rPr>
                <w:rFonts w:ascii="仿宋" w:eastAsia="仿宋" w:hAnsi="仿宋" w:cs="宋体"/>
                <w:color w:val="333333"/>
                <w:kern w:val="0"/>
                <w:sz w:val="24"/>
                <w:szCs w:val="24"/>
              </w:rPr>
              <w:t>5</w:t>
            </w:r>
            <w:r w:rsidR="00462D52">
              <w:rPr>
                <w:rFonts w:ascii="仿宋" w:eastAsia="仿宋" w:hAnsi="仿宋" w:cs="宋体" w:hint="eastAsia"/>
                <w:color w:val="333333"/>
                <w:kern w:val="0"/>
                <w:sz w:val="24"/>
                <w:szCs w:val="24"/>
              </w:rPr>
              <w:t>]%</w:t>
            </w:r>
          </w:p>
          <w:p w14:paraId="7D4CAE2F" w14:textId="7EA316EC" w:rsidR="004F4449" w:rsidRPr="006B719A" w:rsidRDefault="004F4449" w:rsidP="002C35B9">
            <w:pPr>
              <w:spacing w:line="360" w:lineRule="auto"/>
              <w:rPr>
                <w:rFonts w:ascii="仿宋" w:eastAsia="仿宋" w:hAnsi="仿宋" w:cs="宋体"/>
                <w:color w:val="333333"/>
                <w:kern w:val="0"/>
                <w:sz w:val="24"/>
                <w:szCs w:val="24"/>
              </w:rPr>
            </w:pPr>
          </w:p>
        </w:tc>
      </w:tr>
    </w:tbl>
    <w:p w14:paraId="3A2AB86F" w14:textId="77777777" w:rsidR="00DC0637" w:rsidRDefault="00DC0637"/>
    <w:p w14:paraId="13F25B49" w14:textId="77777777" w:rsidR="00DC0637" w:rsidRDefault="00DC0637"/>
    <w:sectPr w:rsidR="00DC0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77F6" w14:textId="77777777" w:rsidR="006300BE" w:rsidRDefault="006300BE" w:rsidP="00641A21">
      <w:r>
        <w:separator/>
      </w:r>
    </w:p>
  </w:endnote>
  <w:endnote w:type="continuationSeparator" w:id="0">
    <w:p w14:paraId="3B8E5A0B" w14:textId="77777777" w:rsidR="006300BE" w:rsidRDefault="006300BE" w:rsidP="0064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FFCA" w14:textId="77777777" w:rsidR="006300BE" w:rsidRDefault="006300BE" w:rsidP="00641A21">
      <w:r>
        <w:separator/>
      </w:r>
    </w:p>
  </w:footnote>
  <w:footnote w:type="continuationSeparator" w:id="0">
    <w:p w14:paraId="14E7B96C" w14:textId="77777777" w:rsidR="006300BE" w:rsidRDefault="006300BE" w:rsidP="0064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32F12"/>
    <w:rsid w:val="00037065"/>
    <w:rsid w:val="00052011"/>
    <w:rsid w:val="00061596"/>
    <w:rsid w:val="000D7EBA"/>
    <w:rsid w:val="000F13B3"/>
    <w:rsid w:val="001164CD"/>
    <w:rsid w:val="00133795"/>
    <w:rsid w:val="00155717"/>
    <w:rsid w:val="00166498"/>
    <w:rsid w:val="001837A3"/>
    <w:rsid w:val="00187366"/>
    <w:rsid w:val="00195954"/>
    <w:rsid w:val="002128C8"/>
    <w:rsid w:val="00213D84"/>
    <w:rsid w:val="00222A22"/>
    <w:rsid w:val="00233C7B"/>
    <w:rsid w:val="00251EC3"/>
    <w:rsid w:val="00286810"/>
    <w:rsid w:val="002C35B9"/>
    <w:rsid w:val="00322894"/>
    <w:rsid w:val="0037080C"/>
    <w:rsid w:val="00376293"/>
    <w:rsid w:val="00391C79"/>
    <w:rsid w:val="003C0AEB"/>
    <w:rsid w:val="003C44B7"/>
    <w:rsid w:val="003C7CDE"/>
    <w:rsid w:val="003E132E"/>
    <w:rsid w:val="003F3F26"/>
    <w:rsid w:val="00410A8C"/>
    <w:rsid w:val="00413892"/>
    <w:rsid w:val="0045414D"/>
    <w:rsid w:val="00462D52"/>
    <w:rsid w:val="0049394E"/>
    <w:rsid w:val="004A4CF5"/>
    <w:rsid w:val="004C2030"/>
    <w:rsid w:val="004C2F55"/>
    <w:rsid w:val="004D4B4C"/>
    <w:rsid w:val="004E144F"/>
    <w:rsid w:val="004F4449"/>
    <w:rsid w:val="004F7688"/>
    <w:rsid w:val="005314ED"/>
    <w:rsid w:val="00561F91"/>
    <w:rsid w:val="00567488"/>
    <w:rsid w:val="00586953"/>
    <w:rsid w:val="005D509C"/>
    <w:rsid w:val="005E6086"/>
    <w:rsid w:val="006300BE"/>
    <w:rsid w:val="00641A21"/>
    <w:rsid w:val="006467D8"/>
    <w:rsid w:val="00661FAC"/>
    <w:rsid w:val="00666188"/>
    <w:rsid w:val="00670C29"/>
    <w:rsid w:val="00687630"/>
    <w:rsid w:val="006A531B"/>
    <w:rsid w:val="006B719A"/>
    <w:rsid w:val="006F7693"/>
    <w:rsid w:val="00706D5C"/>
    <w:rsid w:val="00710140"/>
    <w:rsid w:val="0076339D"/>
    <w:rsid w:val="00772C46"/>
    <w:rsid w:val="007C679D"/>
    <w:rsid w:val="007F2275"/>
    <w:rsid w:val="0082613D"/>
    <w:rsid w:val="008560F1"/>
    <w:rsid w:val="00866611"/>
    <w:rsid w:val="00876D9F"/>
    <w:rsid w:val="0089518D"/>
    <w:rsid w:val="008A61C2"/>
    <w:rsid w:val="008E00F3"/>
    <w:rsid w:val="008E19AF"/>
    <w:rsid w:val="008F31FC"/>
    <w:rsid w:val="008F442B"/>
    <w:rsid w:val="00915F0F"/>
    <w:rsid w:val="009225D8"/>
    <w:rsid w:val="009532DF"/>
    <w:rsid w:val="00981FC0"/>
    <w:rsid w:val="00997019"/>
    <w:rsid w:val="009A5029"/>
    <w:rsid w:val="009D38D5"/>
    <w:rsid w:val="009E36B9"/>
    <w:rsid w:val="009E5D07"/>
    <w:rsid w:val="009F0052"/>
    <w:rsid w:val="00A53A60"/>
    <w:rsid w:val="00A53F26"/>
    <w:rsid w:val="00A902E6"/>
    <w:rsid w:val="00AA0CC5"/>
    <w:rsid w:val="00AB01C2"/>
    <w:rsid w:val="00AC14B8"/>
    <w:rsid w:val="00AC3DAA"/>
    <w:rsid w:val="00AE1AB0"/>
    <w:rsid w:val="00B1022D"/>
    <w:rsid w:val="00B16AFE"/>
    <w:rsid w:val="00B54DFF"/>
    <w:rsid w:val="00B65DD5"/>
    <w:rsid w:val="00B71A3F"/>
    <w:rsid w:val="00B72570"/>
    <w:rsid w:val="00B976BD"/>
    <w:rsid w:val="00BB28F5"/>
    <w:rsid w:val="00BB2F88"/>
    <w:rsid w:val="00BC0379"/>
    <w:rsid w:val="00BC7F81"/>
    <w:rsid w:val="00BD10B6"/>
    <w:rsid w:val="00C03B06"/>
    <w:rsid w:val="00C07076"/>
    <w:rsid w:val="00C2082B"/>
    <w:rsid w:val="00C41237"/>
    <w:rsid w:val="00C462C7"/>
    <w:rsid w:val="00CA4291"/>
    <w:rsid w:val="00CB00DF"/>
    <w:rsid w:val="00CB28D6"/>
    <w:rsid w:val="00CE3F56"/>
    <w:rsid w:val="00D46798"/>
    <w:rsid w:val="00D6248E"/>
    <w:rsid w:val="00D70984"/>
    <w:rsid w:val="00D73C72"/>
    <w:rsid w:val="00DC0637"/>
    <w:rsid w:val="00DD5BAC"/>
    <w:rsid w:val="00E0592B"/>
    <w:rsid w:val="00E31738"/>
    <w:rsid w:val="00E34CF1"/>
    <w:rsid w:val="00E35A97"/>
    <w:rsid w:val="00E71713"/>
    <w:rsid w:val="00E86786"/>
    <w:rsid w:val="00E87903"/>
    <w:rsid w:val="00EB6258"/>
    <w:rsid w:val="00ED2A9D"/>
    <w:rsid w:val="00ED2F80"/>
    <w:rsid w:val="00F15B7E"/>
    <w:rsid w:val="00F1624E"/>
    <w:rsid w:val="00F32F8A"/>
    <w:rsid w:val="00F4445D"/>
    <w:rsid w:val="00F70F8B"/>
    <w:rsid w:val="00F76C4D"/>
    <w:rsid w:val="00F810AA"/>
    <w:rsid w:val="00FB3826"/>
    <w:rsid w:val="00FB43EC"/>
    <w:rsid w:val="00FB6B40"/>
    <w:rsid w:val="00FB6DB5"/>
    <w:rsid w:val="00FD5ED4"/>
    <w:rsid w:val="01F120BE"/>
    <w:rsid w:val="026C0BDA"/>
    <w:rsid w:val="026C6DA8"/>
    <w:rsid w:val="08A71BD0"/>
    <w:rsid w:val="091C17B4"/>
    <w:rsid w:val="096763B5"/>
    <w:rsid w:val="0A341542"/>
    <w:rsid w:val="0A8F6E67"/>
    <w:rsid w:val="105A50BA"/>
    <w:rsid w:val="108B63FF"/>
    <w:rsid w:val="108E1EFD"/>
    <w:rsid w:val="15D707D9"/>
    <w:rsid w:val="16C95B5D"/>
    <w:rsid w:val="16E97DB5"/>
    <w:rsid w:val="187E0264"/>
    <w:rsid w:val="18B83784"/>
    <w:rsid w:val="228455B5"/>
    <w:rsid w:val="25305018"/>
    <w:rsid w:val="253C5966"/>
    <w:rsid w:val="2C496284"/>
    <w:rsid w:val="317A0744"/>
    <w:rsid w:val="330F75E8"/>
    <w:rsid w:val="34157B3B"/>
    <w:rsid w:val="361E4FFB"/>
    <w:rsid w:val="37F944C1"/>
    <w:rsid w:val="3ADF2938"/>
    <w:rsid w:val="3B5738BF"/>
    <w:rsid w:val="3D9C2B9F"/>
    <w:rsid w:val="3FCE6910"/>
    <w:rsid w:val="40BA3220"/>
    <w:rsid w:val="424F64BA"/>
    <w:rsid w:val="43D14626"/>
    <w:rsid w:val="457147B5"/>
    <w:rsid w:val="45F80267"/>
    <w:rsid w:val="47FE7F6E"/>
    <w:rsid w:val="48775124"/>
    <w:rsid w:val="4AA2126F"/>
    <w:rsid w:val="4B754779"/>
    <w:rsid w:val="50372D61"/>
    <w:rsid w:val="528D36EC"/>
    <w:rsid w:val="53C605D9"/>
    <w:rsid w:val="54A91FC6"/>
    <w:rsid w:val="55013EDA"/>
    <w:rsid w:val="551A47A5"/>
    <w:rsid w:val="5C622FCD"/>
    <w:rsid w:val="5C9644AF"/>
    <w:rsid w:val="63E6232C"/>
    <w:rsid w:val="652A31BE"/>
    <w:rsid w:val="670701B4"/>
    <w:rsid w:val="67EC137D"/>
    <w:rsid w:val="68E70428"/>
    <w:rsid w:val="691E6786"/>
    <w:rsid w:val="69972282"/>
    <w:rsid w:val="6ADE3CA6"/>
    <w:rsid w:val="6BB935DB"/>
    <w:rsid w:val="6DD15F6A"/>
    <w:rsid w:val="6DD86F72"/>
    <w:rsid w:val="6F971D84"/>
    <w:rsid w:val="6FD23775"/>
    <w:rsid w:val="71990B88"/>
    <w:rsid w:val="73765842"/>
    <w:rsid w:val="74A0204C"/>
    <w:rsid w:val="75436420"/>
    <w:rsid w:val="759C3151"/>
    <w:rsid w:val="75C84B52"/>
    <w:rsid w:val="76215A01"/>
    <w:rsid w:val="764467BF"/>
    <w:rsid w:val="769632F3"/>
    <w:rsid w:val="769F5CF6"/>
    <w:rsid w:val="7FEB7543"/>
    <w:rsid w:val="7FF50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7D30C"/>
  <w15:docId w15:val="{D493896D-984A-47EA-BB48-15E2E87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7">
    <w:name w:val="Balloon Text"/>
    <w:basedOn w:val="a"/>
    <w:link w:val="a8"/>
    <w:uiPriority w:val="99"/>
    <w:semiHidden/>
    <w:unhideWhenUsed/>
    <w:rsid w:val="00166498"/>
    <w:rPr>
      <w:sz w:val="18"/>
      <w:szCs w:val="18"/>
    </w:rPr>
  </w:style>
  <w:style w:type="character" w:customStyle="1" w:styleId="a8">
    <w:name w:val="批注框文本 字符"/>
    <w:basedOn w:val="a0"/>
    <w:link w:val="a7"/>
    <w:uiPriority w:val="99"/>
    <w:semiHidden/>
    <w:rsid w:val="0016649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8361">
      <w:bodyDiv w:val="1"/>
      <w:marLeft w:val="0"/>
      <w:marRight w:val="0"/>
      <w:marTop w:val="0"/>
      <w:marBottom w:val="0"/>
      <w:divBdr>
        <w:top w:val="none" w:sz="0" w:space="0" w:color="auto"/>
        <w:left w:val="none" w:sz="0" w:space="0" w:color="auto"/>
        <w:bottom w:val="none" w:sz="0" w:space="0" w:color="auto"/>
        <w:right w:val="none" w:sz="0" w:space="0" w:color="auto"/>
      </w:divBdr>
    </w:div>
    <w:div w:id="189276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付 韵晴</cp:lastModifiedBy>
  <cp:revision>66</cp:revision>
  <dcterms:created xsi:type="dcterms:W3CDTF">2021-03-02T15:47:00Z</dcterms:created>
  <dcterms:modified xsi:type="dcterms:W3CDTF">2021-08-20T10:00:00Z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