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CD6DF" w14:textId="77777777" w:rsidR="00094095" w:rsidRPr="00AB4974" w:rsidRDefault="00094095" w:rsidP="00AB4974">
      <w:pPr>
        <w:jc w:val="center"/>
        <w:rPr>
          <w:rFonts w:ascii="Arial" w:eastAsiaTheme="majorEastAsia" w:hAnsi="Arial" w:cs="Arial"/>
          <w:b/>
          <w:sz w:val="20"/>
          <w:szCs w:val="20"/>
        </w:rPr>
      </w:pPr>
      <w:r w:rsidRPr="00AB4974">
        <w:rPr>
          <w:rFonts w:ascii="Arial" w:eastAsiaTheme="majorEastAsia" w:hAnsi="Arial" w:cs="Arial"/>
          <w:b/>
          <w:sz w:val="20"/>
          <w:szCs w:val="20"/>
        </w:rPr>
        <w:t>经营者集中简易案件公示表</w:t>
      </w:r>
    </w:p>
    <w:p w14:paraId="5DBBE1BB" w14:textId="77777777" w:rsidR="00094095" w:rsidRPr="00AB4974" w:rsidRDefault="00094095" w:rsidP="00AB4974">
      <w:pPr>
        <w:rPr>
          <w:rFonts w:ascii="Arial" w:eastAsiaTheme="majorEastAsia"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302"/>
        <w:gridCol w:w="5324"/>
      </w:tblGrid>
      <w:tr w:rsidR="00094095" w:rsidRPr="00AB4974" w14:paraId="12847F95" w14:textId="77777777" w:rsidTr="001E22BB">
        <w:tc>
          <w:tcPr>
            <w:tcW w:w="1670" w:type="dxa"/>
            <w:shd w:val="clear" w:color="auto" w:fill="D9D9D9"/>
          </w:tcPr>
          <w:p w14:paraId="39A0E85E" w14:textId="77777777" w:rsidR="00094095" w:rsidRPr="00AB4974" w:rsidRDefault="00094095"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sz w:val="20"/>
                <w:szCs w:val="20"/>
              </w:rPr>
              <w:t>案件名称</w:t>
            </w:r>
          </w:p>
        </w:tc>
        <w:tc>
          <w:tcPr>
            <w:tcW w:w="6626" w:type="dxa"/>
            <w:gridSpan w:val="2"/>
          </w:tcPr>
          <w:p w14:paraId="682CB303" w14:textId="77777777" w:rsidR="00094095" w:rsidRDefault="000E0B36"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hint="eastAsia"/>
                <w:sz w:val="20"/>
                <w:szCs w:val="20"/>
              </w:rPr>
              <w:t>安大略省市政雇员退休金计划基础设施欧洲第二控股公司与高盛集团公司等经营者收购</w:t>
            </w:r>
            <w:proofErr w:type="spellStart"/>
            <w:r w:rsidRPr="00AB4974">
              <w:rPr>
                <w:rFonts w:ascii="Times New Roman" w:eastAsia="宋体" w:hAnsi="Times New Roman" w:cs="Arial" w:hint="eastAsia"/>
                <w:sz w:val="20"/>
                <w:szCs w:val="20"/>
              </w:rPr>
              <w:t>Antin</w:t>
            </w:r>
            <w:proofErr w:type="spellEnd"/>
            <w:r w:rsidRPr="00AB4974">
              <w:rPr>
                <w:rFonts w:ascii="Times New Roman" w:eastAsia="宋体" w:hAnsi="Times New Roman" w:cs="Arial" w:hint="eastAsia"/>
                <w:sz w:val="20"/>
                <w:szCs w:val="20"/>
              </w:rPr>
              <w:t xml:space="preserve"> </w:t>
            </w:r>
            <w:proofErr w:type="spellStart"/>
            <w:r w:rsidRPr="00AB4974">
              <w:rPr>
                <w:rFonts w:ascii="Times New Roman" w:eastAsia="宋体" w:hAnsi="Times New Roman" w:cs="Arial" w:hint="eastAsia"/>
                <w:sz w:val="20"/>
                <w:szCs w:val="20"/>
              </w:rPr>
              <w:t>Amedes</w:t>
            </w:r>
            <w:proofErr w:type="spellEnd"/>
            <w:r w:rsidRPr="00AB4974">
              <w:rPr>
                <w:rFonts w:ascii="Times New Roman" w:eastAsia="宋体" w:hAnsi="Times New Roman" w:cs="Arial" w:hint="eastAsia"/>
                <w:sz w:val="20"/>
                <w:szCs w:val="20"/>
              </w:rPr>
              <w:t>控股有限公司股权案</w:t>
            </w:r>
          </w:p>
          <w:p w14:paraId="6CFF203C" w14:textId="62FB9269" w:rsidR="00AB4974" w:rsidRPr="00AB4974" w:rsidRDefault="00AB4974" w:rsidP="00AB4974">
            <w:pPr>
              <w:adjustRightInd w:val="0"/>
              <w:snapToGrid w:val="0"/>
              <w:rPr>
                <w:rFonts w:ascii="Times New Roman" w:eastAsia="宋体" w:hAnsi="Times New Roman" w:cs="Arial" w:hint="eastAsia"/>
                <w:sz w:val="20"/>
                <w:szCs w:val="20"/>
              </w:rPr>
            </w:pPr>
          </w:p>
        </w:tc>
      </w:tr>
      <w:tr w:rsidR="00094095" w:rsidRPr="00AB4974" w14:paraId="5A621B79" w14:textId="77777777" w:rsidTr="001E22BB">
        <w:trPr>
          <w:trHeight w:val="993"/>
        </w:trPr>
        <w:tc>
          <w:tcPr>
            <w:tcW w:w="1670" w:type="dxa"/>
            <w:shd w:val="clear" w:color="auto" w:fill="D9D9D9"/>
          </w:tcPr>
          <w:p w14:paraId="001F2C42" w14:textId="77777777" w:rsidR="00094095" w:rsidRPr="00AB4974" w:rsidRDefault="00094095"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sz w:val="20"/>
                <w:szCs w:val="20"/>
              </w:rPr>
              <w:t>交易概况（限</w:t>
            </w:r>
            <w:r w:rsidRPr="00AB4974">
              <w:rPr>
                <w:rFonts w:ascii="Times New Roman" w:eastAsia="宋体" w:hAnsi="Times New Roman" w:cs="Arial"/>
                <w:sz w:val="20"/>
                <w:szCs w:val="20"/>
              </w:rPr>
              <w:t>200</w:t>
            </w:r>
            <w:r w:rsidRPr="00AB4974">
              <w:rPr>
                <w:rFonts w:ascii="Times New Roman" w:eastAsia="宋体" w:hAnsi="Times New Roman" w:cs="Arial"/>
                <w:sz w:val="20"/>
                <w:szCs w:val="20"/>
              </w:rPr>
              <w:t>字内）</w:t>
            </w:r>
          </w:p>
        </w:tc>
        <w:tc>
          <w:tcPr>
            <w:tcW w:w="6626" w:type="dxa"/>
            <w:gridSpan w:val="2"/>
          </w:tcPr>
          <w:p w14:paraId="45DC45F6" w14:textId="76DB5E8F" w:rsidR="00290F7C" w:rsidRDefault="00290F7C"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sz w:val="20"/>
                <w:szCs w:val="20"/>
              </w:rPr>
              <w:t>本</w:t>
            </w:r>
            <w:r w:rsidR="00A72158" w:rsidRPr="00AB4974">
              <w:rPr>
                <w:rFonts w:ascii="Times New Roman" w:eastAsia="宋体" w:hAnsi="Times New Roman" w:cs="Arial" w:hint="eastAsia"/>
                <w:sz w:val="20"/>
                <w:szCs w:val="20"/>
              </w:rPr>
              <w:t>交易</w:t>
            </w:r>
            <w:r w:rsidRPr="00AB4974">
              <w:rPr>
                <w:rFonts w:ascii="Times New Roman" w:eastAsia="宋体" w:hAnsi="Times New Roman" w:cs="Arial"/>
                <w:sz w:val="20"/>
                <w:szCs w:val="20"/>
              </w:rPr>
              <w:t>涉及</w:t>
            </w:r>
            <w:r w:rsidR="000011C6" w:rsidRPr="00AB4974">
              <w:rPr>
                <w:rFonts w:ascii="Times New Roman" w:eastAsia="宋体" w:hAnsi="Times New Roman" w:cs="Arial" w:hint="eastAsia"/>
                <w:sz w:val="20"/>
                <w:szCs w:val="20"/>
              </w:rPr>
              <w:t>由</w:t>
            </w:r>
            <w:r w:rsidR="000E0B36" w:rsidRPr="00AB4974">
              <w:rPr>
                <w:rFonts w:ascii="Times New Roman" w:eastAsia="宋体" w:hAnsi="Times New Roman" w:cs="Arial" w:hint="eastAsia"/>
                <w:sz w:val="20"/>
                <w:szCs w:val="20"/>
              </w:rPr>
              <w:t>安大略省市政雇员退休金计划基础设施欧洲第二控股公司</w:t>
            </w:r>
            <w:r w:rsidR="00AB4974">
              <w:rPr>
                <w:rFonts w:ascii="Times New Roman" w:eastAsia="宋体" w:hAnsi="Times New Roman" w:cs="Arial" w:hint="eastAsia"/>
                <w:sz w:val="20"/>
                <w:szCs w:val="20"/>
              </w:rPr>
              <w:t>（</w:t>
            </w:r>
            <w:r w:rsidR="00AB4974">
              <w:rPr>
                <w:rFonts w:ascii="Times New Roman" w:eastAsia="仿宋_GB2312" w:hAnsi="Times New Roman"/>
                <w:sz w:val="20"/>
                <w:szCs w:val="20"/>
              </w:rPr>
              <w:t>OMERS Infrastructure European Holdings 2 B.</w:t>
            </w:r>
            <w:proofErr w:type="gramStart"/>
            <w:r w:rsidR="00AB4974">
              <w:rPr>
                <w:rFonts w:ascii="Times New Roman" w:eastAsia="仿宋_GB2312" w:hAnsi="Times New Roman"/>
                <w:sz w:val="20"/>
                <w:szCs w:val="20"/>
              </w:rPr>
              <w:t>V.</w:t>
            </w:r>
            <w:r w:rsidR="00AB4974">
              <w:rPr>
                <w:rFonts w:ascii="Times New Roman" w:eastAsia="宋体" w:hAnsi="Times New Roman" w:cs="Arial" w:hint="eastAsia"/>
                <w:sz w:val="20"/>
                <w:szCs w:val="20"/>
              </w:rPr>
              <w:t xml:space="preserve"> </w:t>
            </w:r>
            <w:r w:rsidR="008F2A34">
              <w:rPr>
                <w:rFonts w:ascii="Times New Roman" w:eastAsia="宋体" w:hAnsi="Times New Roman" w:cs="Arial" w:hint="eastAsia"/>
                <w:sz w:val="20"/>
                <w:szCs w:val="20"/>
              </w:rPr>
              <w:t>)</w:t>
            </w:r>
            <w:proofErr w:type="gramEnd"/>
            <w:r w:rsidR="000011C6" w:rsidRPr="00AB4974">
              <w:rPr>
                <w:rFonts w:ascii="Times New Roman" w:eastAsia="宋体" w:hAnsi="Times New Roman" w:cs="Arial" w:hint="eastAsia"/>
                <w:sz w:val="20"/>
                <w:szCs w:val="20"/>
              </w:rPr>
              <w:t>（“</w:t>
            </w:r>
            <w:r w:rsidR="000011C6" w:rsidRPr="00AB4974">
              <w:rPr>
                <w:rFonts w:ascii="Times New Roman" w:eastAsia="宋体" w:hAnsi="Times New Roman" w:cs="Arial" w:hint="eastAsia"/>
                <w:b/>
                <w:bCs/>
                <w:sz w:val="20"/>
                <w:szCs w:val="20"/>
              </w:rPr>
              <w:t>OMERS</w:t>
            </w:r>
            <w:r w:rsidR="000011C6" w:rsidRPr="00AB4974">
              <w:rPr>
                <w:rFonts w:ascii="Times New Roman" w:eastAsia="宋体" w:hAnsi="Times New Roman" w:cs="Arial" w:hint="eastAsia"/>
                <w:sz w:val="20"/>
                <w:szCs w:val="20"/>
              </w:rPr>
              <w:t>”）、高盛集团公司</w:t>
            </w:r>
            <w:r w:rsidR="00AB4974">
              <w:rPr>
                <w:rFonts w:ascii="Times New Roman" w:eastAsia="宋体" w:hAnsi="Times New Roman" w:cs="Arial" w:hint="eastAsia"/>
                <w:sz w:val="20"/>
                <w:szCs w:val="20"/>
              </w:rPr>
              <w:t>（</w:t>
            </w:r>
            <w:r w:rsidR="00AB4974">
              <w:rPr>
                <w:rFonts w:ascii="Times New Roman" w:eastAsia="仿宋_GB2312" w:hAnsi="Times New Roman"/>
                <w:sz w:val="20"/>
                <w:szCs w:val="20"/>
              </w:rPr>
              <w:t>The Goldman Sachs Group, Inc.</w:t>
            </w:r>
            <w:r w:rsidR="00AB4974">
              <w:rPr>
                <w:rFonts w:ascii="Times New Roman" w:eastAsia="宋体" w:hAnsi="Times New Roman" w:cs="Arial" w:hint="eastAsia"/>
                <w:sz w:val="20"/>
                <w:szCs w:val="20"/>
              </w:rPr>
              <w:t xml:space="preserve"> </w:t>
            </w:r>
            <w:r w:rsidR="00AB4974">
              <w:rPr>
                <w:rFonts w:ascii="Times New Roman" w:eastAsia="宋体" w:hAnsi="Times New Roman" w:cs="Arial" w:hint="eastAsia"/>
                <w:sz w:val="20"/>
                <w:szCs w:val="20"/>
              </w:rPr>
              <w:t>)</w:t>
            </w:r>
            <w:r w:rsidR="000011C6" w:rsidRPr="00AB4974">
              <w:rPr>
                <w:rFonts w:ascii="Times New Roman" w:eastAsia="宋体" w:hAnsi="Times New Roman" w:cs="Arial" w:hint="eastAsia"/>
                <w:sz w:val="20"/>
                <w:szCs w:val="20"/>
              </w:rPr>
              <w:t>（“</w:t>
            </w:r>
            <w:r w:rsidR="000011C6" w:rsidRPr="00AB4974">
              <w:rPr>
                <w:rFonts w:ascii="Times New Roman" w:eastAsia="宋体" w:hAnsi="Times New Roman" w:cs="Arial" w:hint="eastAsia"/>
                <w:b/>
                <w:bCs/>
                <w:sz w:val="20"/>
                <w:szCs w:val="20"/>
              </w:rPr>
              <w:t>高盛</w:t>
            </w:r>
            <w:r w:rsidR="000011C6" w:rsidRPr="00AB4974">
              <w:rPr>
                <w:rFonts w:ascii="Times New Roman" w:eastAsia="宋体" w:hAnsi="Times New Roman" w:cs="Arial" w:hint="eastAsia"/>
                <w:sz w:val="20"/>
                <w:szCs w:val="20"/>
              </w:rPr>
              <w:t>”）和安盛不动产投资管理公司</w:t>
            </w:r>
            <w:r w:rsidR="00AB4974">
              <w:rPr>
                <w:rFonts w:ascii="Times New Roman" w:eastAsia="宋体" w:hAnsi="Times New Roman" w:cs="Arial" w:hint="eastAsia"/>
                <w:sz w:val="20"/>
                <w:szCs w:val="20"/>
              </w:rPr>
              <w:t>（</w:t>
            </w:r>
            <w:proofErr w:type="spellStart"/>
            <w:r w:rsidR="00AB4974">
              <w:rPr>
                <w:rFonts w:ascii="Times New Roman" w:eastAsia="仿宋_GB2312" w:hAnsi="Times New Roman"/>
                <w:sz w:val="20"/>
                <w:szCs w:val="20"/>
              </w:rPr>
              <w:t>Axa</w:t>
            </w:r>
            <w:proofErr w:type="spellEnd"/>
            <w:r w:rsidR="00AB4974">
              <w:rPr>
                <w:rFonts w:ascii="Times New Roman" w:eastAsia="仿宋_GB2312" w:hAnsi="Times New Roman"/>
                <w:sz w:val="20"/>
                <w:szCs w:val="20"/>
              </w:rPr>
              <w:t xml:space="preserve"> Real Estate Investment Managers SGP SA</w:t>
            </w:r>
            <w:r w:rsidR="008F2A34">
              <w:rPr>
                <w:rFonts w:ascii="Times New Roman" w:eastAsia="宋体" w:hAnsi="Times New Roman" w:cs="Arial" w:hint="eastAsia"/>
                <w:sz w:val="20"/>
                <w:szCs w:val="20"/>
              </w:rPr>
              <w:t>)</w:t>
            </w:r>
            <w:r w:rsidR="000011C6" w:rsidRPr="00AB4974">
              <w:rPr>
                <w:rFonts w:ascii="Times New Roman" w:eastAsia="宋体" w:hAnsi="Times New Roman" w:cs="Arial" w:hint="eastAsia"/>
                <w:sz w:val="20"/>
                <w:szCs w:val="20"/>
              </w:rPr>
              <w:t>（“</w:t>
            </w:r>
            <w:r w:rsidR="000011C6" w:rsidRPr="00AB4974">
              <w:rPr>
                <w:rFonts w:ascii="Times New Roman" w:eastAsia="宋体" w:hAnsi="Times New Roman" w:cs="Arial" w:hint="eastAsia"/>
                <w:b/>
                <w:bCs/>
                <w:sz w:val="20"/>
                <w:szCs w:val="20"/>
              </w:rPr>
              <w:t>安盛</w:t>
            </w:r>
            <w:r w:rsidR="000011C6" w:rsidRPr="00AB4974">
              <w:rPr>
                <w:rFonts w:ascii="Times New Roman" w:eastAsia="宋体" w:hAnsi="Times New Roman" w:cs="Arial" w:hint="eastAsia"/>
                <w:sz w:val="20"/>
                <w:szCs w:val="20"/>
              </w:rPr>
              <w:t>”）间接控制的实体组成的</w:t>
            </w:r>
            <w:r w:rsidR="00AA3396" w:rsidRPr="00AB4974">
              <w:rPr>
                <w:rFonts w:ascii="Times New Roman" w:eastAsia="宋体" w:hAnsi="Times New Roman" w:cs="Arial" w:hint="eastAsia"/>
                <w:sz w:val="20"/>
                <w:szCs w:val="20"/>
              </w:rPr>
              <w:t>收购</w:t>
            </w:r>
            <w:r w:rsidR="000011C6" w:rsidRPr="00AB4974">
              <w:rPr>
                <w:rFonts w:ascii="Times New Roman" w:eastAsia="宋体" w:hAnsi="Times New Roman" w:cs="Arial" w:hint="eastAsia"/>
                <w:sz w:val="20"/>
                <w:szCs w:val="20"/>
              </w:rPr>
              <w:t>联合体收购</w:t>
            </w:r>
            <w:proofErr w:type="spellStart"/>
            <w:r w:rsidR="000011C6" w:rsidRPr="00AB4974">
              <w:rPr>
                <w:rFonts w:ascii="Times New Roman" w:eastAsia="宋体" w:hAnsi="Times New Roman" w:cs="Arial" w:hint="eastAsia"/>
                <w:sz w:val="20"/>
                <w:szCs w:val="20"/>
              </w:rPr>
              <w:t>Antin</w:t>
            </w:r>
            <w:proofErr w:type="spellEnd"/>
            <w:r w:rsidR="000011C6" w:rsidRPr="00AB4974">
              <w:rPr>
                <w:rFonts w:ascii="Times New Roman" w:eastAsia="宋体" w:hAnsi="Times New Roman" w:cs="Arial" w:hint="eastAsia"/>
                <w:sz w:val="20"/>
                <w:szCs w:val="20"/>
              </w:rPr>
              <w:t xml:space="preserve"> </w:t>
            </w:r>
            <w:proofErr w:type="spellStart"/>
            <w:r w:rsidR="000011C6" w:rsidRPr="00AB4974">
              <w:rPr>
                <w:rFonts w:ascii="Times New Roman" w:eastAsia="宋体" w:hAnsi="Times New Roman" w:cs="Arial" w:hint="eastAsia"/>
                <w:sz w:val="20"/>
                <w:szCs w:val="20"/>
              </w:rPr>
              <w:t>Amedes</w:t>
            </w:r>
            <w:proofErr w:type="spellEnd"/>
            <w:r w:rsidR="000011C6" w:rsidRPr="00AB4974">
              <w:rPr>
                <w:rFonts w:ascii="Times New Roman" w:eastAsia="宋体" w:hAnsi="Times New Roman" w:cs="Arial" w:hint="eastAsia"/>
                <w:sz w:val="20"/>
                <w:szCs w:val="20"/>
              </w:rPr>
              <w:t>控股有限公司</w:t>
            </w:r>
            <w:r w:rsidR="008F2A34">
              <w:rPr>
                <w:rFonts w:ascii="Times New Roman" w:eastAsia="宋体" w:hAnsi="Times New Roman" w:cs="Arial" w:hint="eastAsia"/>
                <w:sz w:val="20"/>
                <w:szCs w:val="20"/>
              </w:rPr>
              <w:t>（</w:t>
            </w:r>
            <w:proofErr w:type="spellStart"/>
            <w:r w:rsidR="008F2A34">
              <w:rPr>
                <w:rFonts w:ascii="Times New Roman" w:eastAsia="仿宋_GB2312" w:hAnsi="Times New Roman"/>
                <w:sz w:val="20"/>
                <w:szCs w:val="20"/>
              </w:rPr>
              <w:t>Antin</w:t>
            </w:r>
            <w:proofErr w:type="spellEnd"/>
            <w:r w:rsidR="008F2A34">
              <w:rPr>
                <w:rFonts w:ascii="Times New Roman" w:eastAsia="仿宋_GB2312" w:hAnsi="Times New Roman"/>
                <w:sz w:val="20"/>
                <w:szCs w:val="20"/>
              </w:rPr>
              <w:t xml:space="preserve"> </w:t>
            </w:r>
            <w:proofErr w:type="spellStart"/>
            <w:r w:rsidR="008F2A34">
              <w:rPr>
                <w:rFonts w:ascii="Times New Roman" w:eastAsia="仿宋_GB2312" w:hAnsi="Times New Roman"/>
                <w:sz w:val="20"/>
                <w:szCs w:val="20"/>
              </w:rPr>
              <w:t>Amedes</w:t>
            </w:r>
            <w:proofErr w:type="spellEnd"/>
            <w:r w:rsidR="008F2A34">
              <w:rPr>
                <w:rFonts w:ascii="Times New Roman" w:eastAsia="仿宋_GB2312" w:hAnsi="Times New Roman"/>
                <w:sz w:val="20"/>
                <w:szCs w:val="20"/>
              </w:rPr>
              <w:t xml:space="preserve"> Holdco GmbH</w:t>
            </w:r>
            <w:r w:rsidR="008F2A34">
              <w:rPr>
                <w:rFonts w:ascii="Times New Roman" w:eastAsia="宋体" w:hAnsi="Times New Roman" w:cs="Arial" w:hint="eastAsia"/>
                <w:sz w:val="20"/>
                <w:szCs w:val="20"/>
              </w:rPr>
              <w:t>)</w:t>
            </w:r>
            <w:r w:rsidR="00CE5EC4" w:rsidRPr="00AB4974">
              <w:rPr>
                <w:rFonts w:ascii="Times New Roman" w:eastAsia="宋体" w:hAnsi="Times New Roman" w:cs="Arial" w:hint="eastAsia"/>
                <w:sz w:val="20"/>
                <w:szCs w:val="20"/>
              </w:rPr>
              <w:t>（“</w:t>
            </w:r>
            <w:r w:rsidR="00CE5EC4" w:rsidRPr="00AB4974">
              <w:rPr>
                <w:rFonts w:ascii="Times New Roman" w:eastAsia="宋体" w:hAnsi="Times New Roman" w:cs="Arial" w:hint="eastAsia"/>
                <w:b/>
                <w:bCs/>
                <w:sz w:val="20"/>
                <w:szCs w:val="20"/>
              </w:rPr>
              <w:t>目标公司</w:t>
            </w:r>
            <w:r w:rsidR="00CE5EC4" w:rsidRPr="00AB4974">
              <w:rPr>
                <w:rFonts w:ascii="Times New Roman" w:eastAsia="宋体" w:hAnsi="Times New Roman" w:cs="Arial" w:hint="eastAsia"/>
                <w:sz w:val="20"/>
                <w:szCs w:val="20"/>
              </w:rPr>
              <w:t>”）</w:t>
            </w:r>
            <w:r w:rsidR="008F2A34">
              <w:rPr>
                <w:rFonts w:ascii="Times New Roman" w:eastAsia="宋体" w:hAnsi="Times New Roman" w:cs="Arial" w:hint="eastAsia"/>
                <w:sz w:val="20"/>
                <w:szCs w:val="20"/>
              </w:rPr>
              <w:t>的</w:t>
            </w:r>
            <w:r w:rsidR="00CE5EC4" w:rsidRPr="00AB4974">
              <w:rPr>
                <w:rFonts w:ascii="Times New Roman" w:eastAsia="宋体" w:hAnsi="Times New Roman" w:cs="Arial" w:hint="eastAsia"/>
                <w:sz w:val="20"/>
                <w:szCs w:val="20"/>
              </w:rPr>
              <w:t>全部股</w:t>
            </w:r>
            <w:r w:rsidR="00AA3396" w:rsidRPr="00AB4974">
              <w:rPr>
                <w:rFonts w:ascii="Times New Roman" w:eastAsia="宋体" w:hAnsi="Times New Roman" w:cs="Arial" w:hint="eastAsia"/>
                <w:sz w:val="20"/>
                <w:szCs w:val="20"/>
              </w:rPr>
              <w:t>份</w:t>
            </w:r>
            <w:r w:rsidR="00CE5EC4" w:rsidRPr="00AB4974">
              <w:rPr>
                <w:rFonts w:ascii="Times New Roman" w:eastAsia="宋体" w:hAnsi="Times New Roman" w:cs="Arial" w:hint="eastAsia"/>
                <w:sz w:val="20"/>
                <w:szCs w:val="20"/>
              </w:rPr>
              <w:t>。</w:t>
            </w:r>
            <w:r w:rsidR="00AA3396" w:rsidRPr="00AB4974">
              <w:rPr>
                <w:rFonts w:ascii="Times New Roman" w:eastAsia="宋体" w:hAnsi="Times New Roman" w:cs="Arial" w:hint="eastAsia"/>
                <w:sz w:val="20"/>
                <w:szCs w:val="20"/>
              </w:rPr>
              <w:t>收购联合体将由</w:t>
            </w:r>
            <w:r w:rsidR="00CE5EC4" w:rsidRPr="00AB4974">
              <w:rPr>
                <w:rFonts w:ascii="Times New Roman" w:eastAsia="宋体" w:hAnsi="Times New Roman" w:cs="Arial" w:hint="eastAsia"/>
                <w:sz w:val="20"/>
                <w:szCs w:val="20"/>
              </w:rPr>
              <w:t>OMERS</w:t>
            </w:r>
            <w:r w:rsidR="00AA3396" w:rsidRPr="00AB4974">
              <w:rPr>
                <w:rFonts w:ascii="Times New Roman" w:eastAsia="宋体" w:hAnsi="Times New Roman" w:cs="Arial" w:hint="eastAsia"/>
                <w:sz w:val="20"/>
                <w:szCs w:val="20"/>
              </w:rPr>
              <w:t>和</w:t>
            </w:r>
            <w:r w:rsidR="00CE5EC4" w:rsidRPr="00AB4974">
              <w:rPr>
                <w:rFonts w:ascii="Times New Roman" w:eastAsia="宋体" w:hAnsi="Times New Roman" w:cs="Arial" w:hint="eastAsia"/>
                <w:sz w:val="20"/>
                <w:szCs w:val="20"/>
              </w:rPr>
              <w:t>高盛</w:t>
            </w:r>
            <w:r w:rsidR="008F2A34">
              <w:rPr>
                <w:rFonts w:ascii="Times New Roman" w:eastAsia="宋体" w:hAnsi="Times New Roman" w:cs="Arial" w:hint="eastAsia"/>
                <w:sz w:val="20"/>
                <w:szCs w:val="20"/>
              </w:rPr>
              <w:t>各自</w:t>
            </w:r>
            <w:r w:rsidR="00AA3396" w:rsidRPr="00AB4974">
              <w:rPr>
                <w:rFonts w:ascii="Times New Roman" w:eastAsia="宋体" w:hAnsi="Times New Roman" w:cs="Arial" w:hint="eastAsia"/>
                <w:sz w:val="20"/>
                <w:szCs w:val="20"/>
              </w:rPr>
              <w:t>持股</w:t>
            </w:r>
            <w:r w:rsidR="00AA3396" w:rsidRPr="00AB4974">
              <w:rPr>
                <w:rFonts w:ascii="Times New Roman" w:eastAsia="宋体" w:hAnsi="Times New Roman" w:cs="Arial" w:hint="eastAsia"/>
                <w:sz w:val="20"/>
                <w:szCs w:val="20"/>
              </w:rPr>
              <w:t>37.5%</w:t>
            </w:r>
            <w:r w:rsidR="00AA3396" w:rsidRPr="00AB4974">
              <w:rPr>
                <w:rFonts w:ascii="Times New Roman" w:eastAsia="宋体" w:hAnsi="Times New Roman" w:cs="Arial" w:hint="eastAsia"/>
                <w:sz w:val="20"/>
                <w:szCs w:val="20"/>
              </w:rPr>
              <w:t>，安盛持股</w:t>
            </w:r>
            <w:r w:rsidR="00AA3396" w:rsidRPr="00AB4974">
              <w:rPr>
                <w:rFonts w:ascii="Times New Roman" w:eastAsia="宋体" w:hAnsi="Times New Roman" w:cs="Arial" w:hint="eastAsia"/>
                <w:sz w:val="20"/>
                <w:szCs w:val="20"/>
              </w:rPr>
              <w:t>25%</w:t>
            </w:r>
            <w:r w:rsidR="00CE5EC4" w:rsidRPr="00AB4974">
              <w:rPr>
                <w:rFonts w:ascii="Times New Roman" w:eastAsia="宋体" w:hAnsi="Times New Roman" w:cs="Arial" w:hint="eastAsia"/>
                <w:sz w:val="20"/>
                <w:szCs w:val="20"/>
              </w:rPr>
              <w:t>。本交易完成后，目标公司将由</w:t>
            </w:r>
            <w:r w:rsidR="00CE5EC4" w:rsidRPr="00AB4974">
              <w:rPr>
                <w:rFonts w:ascii="Times New Roman" w:eastAsia="宋体" w:hAnsi="Times New Roman" w:cs="Arial" w:hint="eastAsia"/>
                <w:sz w:val="20"/>
                <w:szCs w:val="20"/>
              </w:rPr>
              <w:t>OMERS</w:t>
            </w:r>
            <w:r w:rsidR="00CE5EC4" w:rsidRPr="00AB4974">
              <w:rPr>
                <w:rFonts w:ascii="Times New Roman" w:eastAsia="宋体" w:hAnsi="Times New Roman" w:cs="Arial" w:hint="eastAsia"/>
                <w:sz w:val="20"/>
                <w:szCs w:val="20"/>
              </w:rPr>
              <w:t>、高盛和安盛共同控制。</w:t>
            </w:r>
          </w:p>
          <w:p w14:paraId="3B73892B" w14:textId="15DC775F" w:rsidR="00AB4974" w:rsidRPr="00AB4974" w:rsidRDefault="00AB4974" w:rsidP="00AB4974">
            <w:pPr>
              <w:adjustRightInd w:val="0"/>
              <w:snapToGrid w:val="0"/>
              <w:rPr>
                <w:rFonts w:ascii="Times New Roman" w:eastAsia="宋体" w:hAnsi="Times New Roman" w:cs="Arial" w:hint="eastAsia"/>
                <w:sz w:val="20"/>
                <w:szCs w:val="20"/>
              </w:rPr>
            </w:pPr>
          </w:p>
        </w:tc>
      </w:tr>
      <w:tr w:rsidR="001E22BB" w:rsidRPr="00AB4974" w14:paraId="071EEFC8" w14:textId="77777777" w:rsidTr="008F2A34">
        <w:trPr>
          <w:trHeight w:val="468"/>
        </w:trPr>
        <w:tc>
          <w:tcPr>
            <w:tcW w:w="1670" w:type="dxa"/>
            <w:vMerge w:val="restart"/>
            <w:shd w:val="clear" w:color="auto" w:fill="D9D9D9"/>
          </w:tcPr>
          <w:p w14:paraId="00C4DD88" w14:textId="77777777" w:rsidR="00094095" w:rsidRPr="00AB4974" w:rsidRDefault="00094095"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sz w:val="20"/>
                <w:szCs w:val="20"/>
              </w:rPr>
              <w:t>参与集中的经营者简介</w:t>
            </w:r>
          </w:p>
        </w:tc>
        <w:tc>
          <w:tcPr>
            <w:tcW w:w="1302" w:type="dxa"/>
          </w:tcPr>
          <w:p w14:paraId="1B736574" w14:textId="266C2D04" w:rsidR="00094095" w:rsidRPr="00AB4974" w:rsidRDefault="00094095"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sz w:val="20"/>
                <w:szCs w:val="20"/>
              </w:rPr>
              <w:t>1</w:t>
            </w:r>
            <w:r w:rsidRPr="00AB4974">
              <w:rPr>
                <w:rFonts w:ascii="Times New Roman" w:eastAsia="宋体" w:hAnsi="Times New Roman" w:cs="Arial"/>
                <w:sz w:val="20"/>
                <w:szCs w:val="20"/>
              </w:rPr>
              <w:t>、</w:t>
            </w:r>
            <w:r w:rsidR="00CE5EC4" w:rsidRPr="00AB4974">
              <w:rPr>
                <w:rFonts w:ascii="Times New Roman" w:eastAsia="宋体" w:hAnsi="Times New Roman" w:cs="Arial" w:hint="eastAsia"/>
                <w:sz w:val="20"/>
                <w:szCs w:val="20"/>
              </w:rPr>
              <w:t>O</w:t>
            </w:r>
            <w:r w:rsidR="00CE5EC4" w:rsidRPr="00AB4974">
              <w:rPr>
                <w:rFonts w:ascii="Times New Roman" w:eastAsia="宋体" w:hAnsi="Times New Roman" w:cs="Arial"/>
                <w:sz w:val="20"/>
                <w:szCs w:val="20"/>
              </w:rPr>
              <w:t>MERS</w:t>
            </w:r>
          </w:p>
        </w:tc>
        <w:tc>
          <w:tcPr>
            <w:tcW w:w="5324" w:type="dxa"/>
          </w:tcPr>
          <w:p w14:paraId="5236FF28" w14:textId="5BFC00B9" w:rsidR="00094095" w:rsidRDefault="00AA0218"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hint="eastAsia"/>
                <w:sz w:val="20"/>
                <w:szCs w:val="20"/>
              </w:rPr>
              <w:t>OMERS</w:t>
            </w:r>
            <w:r w:rsidRPr="00AB4974">
              <w:rPr>
                <w:rFonts w:ascii="Times New Roman" w:eastAsia="宋体" w:hAnsi="Times New Roman" w:cs="Arial" w:hint="eastAsia"/>
                <w:sz w:val="20"/>
                <w:szCs w:val="20"/>
              </w:rPr>
              <w:t>由</w:t>
            </w:r>
            <w:r w:rsidR="00DD1E3F" w:rsidRPr="00AB4974">
              <w:rPr>
                <w:rFonts w:ascii="Arial" w:eastAsiaTheme="majorEastAsia" w:hAnsi="Arial" w:cs="Arial"/>
                <w:sz w:val="20"/>
                <w:szCs w:val="20"/>
              </w:rPr>
              <w:t>安大略省市政雇员退休金计划管理公司</w:t>
            </w:r>
            <w:proofErr w:type="gramStart"/>
            <w:r w:rsidRPr="00AB4974">
              <w:rPr>
                <w:rFonts w:ascii="Times New Roman" w:eastAsia="宋体" w:hAnsi="Times New Roman" w:cs="Arial" w:hint="eastAsia"/>
                <w:sz w:val="20"/>
                <w:szCs w:val="20"/>
              </w:rPr>
              <w:t>（“</w:t>
            </w:r>
            <w:proofErr w:type="gramEnd"/>
            <w:r w:rsidRPr="00AB4974">
              <w:rPr>
                <w:rFonts w:ascii="Times New Roman" w:eastAsia="宋体" w:hAnsi="Times New Roman" w:cs="Arial" w:hint="eastAsia"/>
                <w:b/>
                <w:bCs/>
                <w:sz w:val="20"/>
                <w:szCs w:val="20"/>
              </w:rPr>
              <w:t>OAC</w:t>
            </w:r>
            <w:r w:rsidRPr="00AB4974">
              <w:rPr>
                <w:rFonts w:ascii="Times New Roman" w:eastAsia="宋体" w:hAnsi="Times New Roman" w:cs="Arial" w:hint="eastAsia"/>
                <w:sz w:val="20"/>
                <w:szCs w:val="20"/>
              </w:rPr>
              <w:t>”）控制</w:t>
            </w:r>
            <w:r w:rsidR="00DD1E3F" w:rsidRPr="00AB4974">
              <w:rPr>
                <w:rFonts w:ascii="Times New Roman" w:eastAsia="宋体" w:hAnsi="Times New Roman" w:cs="Arial" w:hint="eastAsia"/>
                <w:sz w:val="20"/>
                <w:szCs w:val="20"/>
              </w:rPr>
              <w:t>。</w:t>
            </w:r>
            <w:r w:rsidRPr="00AB4974">
              <w:rPr>
                <w:rFonts w:ascii="Times New Roman" w:eastAsia="宋体" w:hAnsi="Times New Roman" w:cs="Arial" w:hint="eastAsia"/>
                <w:sz w:val="20"/>
                <w:szCs w:val="20"/>
              </w:rPr>
              <w:t>OAC</w:t>
            </w:r>
            <w:r w:rsidRPr="00AB4974">
              <w:rPr>
                <w:rFonts w:ascii="Times New Roman" w:eastAsia="宋体" w:hAnsi="Times New Roman" w:cs="Arial" w:hint="eastAsia"/>
                <w:sz w:val="20"/>
                <w:szCs w:val="20"/>
              </w:rPr>
              <w:t>总部位于加拿大安大略省，</w:t>
            </w:r>
            <w:r w:rsidR="00DD1E3F" w:rsidRPr="00AB4974">
              <w:rPr>
                <w:rFonts w:ascii="Times New Roman" w:eastAsia="宋体" w:hAnsi="Times New Roman" w:cs="Arial"/>
                <w:sz w:val="20"/>
                <w:szCs w:val="20"/>
              </w:rPr>
              <w:t>是一家依据</w:t>
            </w:r>
            <w:r w:rsidR="00DD1E3F" w:rsidRPr="00AB4974">
              <w:rPr>
                <w:rFonts w:ascii="Times New Roman" w:eastAsia="宋体" w:hAnsi="Times New Roman" w:cs="Arial"/>
                <w:sz w:val="20"/>
                <w:szCs w:val="20"/>
              </w:rPr>
              <w:t>2006</w:t>
            </w:r>
            <w:r w:rsidR="00DD1E3F" w:rsidRPr="00AB4974">
              <w:rPr>
                <w:rFonts w:ascii="Times New Roman" w:eastAsia="宋体" w:hAnsi="Times New Roman" w:cs="Arial"/>
                <w:sz w:val="20"/>
                <w:szCs w:val="20"/>
              </w:rPr>
              <w:t>年</w:t>
            </w:r>
            <w:r w:rsidR="00AB4974">
              <w:rPr>
                <w:rFonts w:ascii="Times New Roman" w:eastAsia="宋体" w:hAnsi="Times New Roman" w:cs="Arial" w:hint="eastAsia"/>
                <w:sz w:val="20"/>
                <w:szCs w:val="20"/>
              </w:rPr>
              <w:t>《</w:t>
            </w:r>
            <w:r w:rsidR="00DD1E3F" w:rsidRPr="00AB4974">
              <w:rPr>
                <w:rFonts w:ascii="Times New Roman" w:eastAsia="宋体" w:hAnsi="Times New Roman" w:cs="Arial"/>
                <w:sz w:val="20"/>
                <w:szCs w:val="20"/>
              </w:rPr>
              <w:t>安大略省市政雇员退休金计划法》存续的</w:t>
            </w:r>
            <w:r w:rsidR="00DD1E3F" w:rsidRPr="00AB4974">
              <w:rPr>
                <w:rFonts w:ascii="Times New Roman" w:eastAsia="宋体" w:hAnsi="Times New Roman" w:cs="Arial" w:hint="eastAsia"/>
                <w:sz w:val="20"/>
                <w:szCs w:val="20"/>
              </w:rPr>
              <w:t>法定机构类</w:t>
            </w:r>
            <w:r w:rsidR="00DD1E3F" w:rsidRPr="00AB4974">
              <w:rPr>
                <w:rFonts w:ascii="Times New Roman" w:eastAsia="宋体" w:hAnsi="Times New Roman" w:cs="Arial"/>
                <w:sz w:val="20"/>
                <w:szCs w:val="20"/>
              </w:rPr>
              <w:t>无股本公司</w:t>
            </w:r>
            <w:r w:rsidR="00AB4974">
              <w:rPr>
                <w:rFonts w:ascii="Times New Roman" w:eastAsia="宋体" w:hAnsi="Times New Roman" w:cs="Arial" w:hint="eastAsia"/>
                <w:sz w:val="20"/>
                <w:szCs w:val="20"/>
              </w:rPr>
              <w:t>，</w:t>
            </w:r>
            <w:r w:rsidR="00DD1E3F" w:rsidRPr="00AB4974">
              <w:rPr>
                <w:rFonts w:ascii="Times New Roman" w:eastAsia="宋体" w:hAnsi="Times New Roman" w:cs="Arial"/>
                <w:sz w:val="20"/>
                <w:szCs w:val="20"/>
              </w:rPr>
              <w:t>担任安大略省市政雇员退休金计划项下各退休金计划的行政管理人以及相关退休金资金的受托人。</w:t>
            </w:r>
            <w:r w:rsidR="00AB4974" w:rsidRPr="00AB4974">
              <w:rPr>
                <w:rFonts w:ascii="Times New Roman" w:eastAsia="宋体" w:hAnsi="Times New Roman" w:cs="Arial"/>
                <w:sz w:val="20"/>
                <w:szCs w:val="20"/>
              </w:rPr>
              <w:t>OAC</w:t>
            </w:r>
            <w:r w:rsidR="00AB4974" w:rsidRPr="00AB4974">
              <w:rPr>
                <w:rFonts w:ascii="Times New Roman" w:eastAsia="宋体" w:hAnsi="Times New Roman" w:cs="Arial"/>
                <w:sz w:val="20"/>
                <w:szCs w:val="20"/>
              </w:rPr>
              <w:t>管理安大略省各地市政府、学校董事会、图书馆、警察局</w:t>
            </w:r>
            <w:r w:rsidR="00AB4974" w:rsidRPr="00AB4974">
              <w:rPr>
                <w:rFonts w:ascii="Times New Roman" w:eastAsia="宋体" w:hAnsi="Times New Roman" w:cs="Arial" w:hint="eastAsia"/>
                <w:sz w:val="20"/>
                <w:szCs w:val="20"/>
              </w:rPr>
              <w:t>、</w:t>
            </w:r>
            <w:r w:rsidR="00AB4974" w:rsidRPr="00AB4974">
              <w:rPr>
                <w:rFonts w:ascii="Times New Roman" w:eastAsia="宋体" w:hAnsi="Times New Roman" w:cs="Arial"/>
                <w:sz w:val="20"/>
                <w:szCs w:val="20"/>
              </w:rPr>
              <w:t>消防部门</w:t>
            </w:r>
            <w:r w:rsidR="00AB4974" w:rsidRPr="00AB4974">
              <w:rPr>
                <w:rFonts w:ascii="Times New Roman" w:eastAsia="宋体" w:hAnsi="Times New Roman" w:cs="Arial" w:hint="eastAsia"/>
                <w:sz w:val="20"/>
                <w:szCs w:val="20"/>
              </w:rPr>
              <w:t>、儿童救助组织</w:t>
            </w:r>
            <w:r w:rsidR="00AB4974" w:rsidRPr="00AB4974">
              <w:rPr>
                <w:rFonts w:ascii="Times New Roman" w:eastAsia="宋体" w:hAnsi="Times New Roman" w:cs="Arial"/>
                <w:sz w:val="20"/>
                <w:szCs w:val="20"/>
              </w:rPr>
              <w:t>和其他地方机构</w:t>
            </w:r>
            <w:r w:rsidR="00AB4974">
              <w:rPr>
                <w:rFonts w:ascii="Times New Roman" w:eastAsia="宋体" w:hAnsi="Times New Roman" w:cs="Arial" w:hint="eastAsia"/>
                <w:sz w:val="20"/>
                <w:szCs w:val="20"/>
              </w:rPr>
              <w:t>的</w:t>
            </w:r>
            <w:r w:rsidR="00AB4974" w:rsidRPr="00AB4974">
              <w:rPr>
                <w:rFonts w:ascii="Times New Roman" w:eastAsia="宋体" w:hAnsi="Times New Roman" w:cs="Arial" w:hint="eastAsia"/>
                <w:sz w:val="20"/>
                <w:szCs w:val="20"/>
              </w:rPr>
              <w:t>雇员</w:t>
            </w:r>
            <w:r w:rsidR="00AB4974" w:rsidRPr="00AB4974">
              <w:rPr>
                <w:rFonts w:ascii="Times New Roman" w:eastAsia="宋体" w:hAnsi="Times New Roman" w:cs="Arial"/>
                <w:sz w:val="20"/>
                <w:szCs w:val="20"/>
              </w:rPr>
              <w:t>的退休金</w:t>
            </w:r>
            <w:r w:rsidR="00DD1E3F" w:rsidRPr="00AB4974">
              <w:rPr>
                <w:rFonts w:ascii="Times New Roman" w:eastAsia="宋体" w:hAnsi="Times New Roman" w:cs="Arial"/>
                <w:sz w:val="20"/>
                <w:szCs w:val="20"/>
              </w:rPr>
              <w:t>。</w:t>
            </w:r>
            <w:r w:rsidR="00DD1E3F" w:rsidRPr="00AB4974">
              <w:rPr>
                <w:rFonts w:ascii="Times New Roman" w:eastAsia="宋体" w:hAnsi="Times New Roman" w:cs="Arial"/>
                <w:sz w:val="20"/>
                <w:szCs w:val="20"/>
              </w:rPr>
              <w:t>OAC</w:t>
            </w:r>
            <w:r w:rsidR="00DD1E3F" w:rsidRPr="00AB4974">
              <w:rPr>
                <w:rFonts w:ascii="Times New Roman" w:eastAsia="宋体" w:hAnsi="Times New Roman" w:cs="Arial"/>
                <w:sz w:val="20"/>
                <w:szCs w:val="20"/>
              </w:rPr>
              <w:t>在全球范围内投资基础设施</w:t>
            </w:r>
            <w:r w:rsidR="00DD1E3F" w:rsidRPr="00AB4974">
              <w:rPr>
                <w:rFonts w:ascii="Times New Roman" w:eastAsia="宋体" w:hAnsi="Times New Roman" w:cs="Arial" w:hint="eastAsia"/>
                <w:sz w:val="20"/>
                <w:szCs w:val="20"/>
              </w:rPr>
              <w:t>和</w:t>
            </w:r>
            <w:r w:rsidR="00DD1E3F" w:rsidRPr="00AB4974">
              <w:rPr>
                <w:rFonts w:ascii="Times New Roman" w:eastAsia="宋体" w:hAnsi="Times New Roman" w:cs="Arial"/>
                <w:sz w:val="20"/>
                <w:szCs w:val="20"/>
              </w:rPr>
              <w:t>私募</w:t>
            </w:r>
            <w:r w:rsidR="00DD1E3F" w:rsidRPr="00AB4974">
              <w:rPr>
                <w:rFonts w:ascii="Times New Roman" w:eastAsia="宋体" w:hAnsi="Times New Roman" w:cs="Arial" w:hint="eastAsia"/>
                <w:sz w:val="20"/>
                <w:szCs w:val="20"/>
              </w:rPr>
              <w:t>股权</w:t>
            </w:r>
            <w:r w:rsidR="00DD1E3F" w:rsidRPr="00AB4974">
              <w:rPr>
                <w:rFonts w:ascii="Times New Roman" w:eastAsia="宋体" w:hAnsi="Times New Roman" w:cs="Arial"/>
                <w:sz w:val="20"/>
                <w:szCs w:val="20"/>
              </w:rPr>
              <w:t>类资产，并持有多样化且大规模的基础设施投资组合，涉及能源、交通和受政府监管类服务等领域。</w:t>
            </w:r>
            <w:r w:rsidRPr="00AB4974">
              <w:rPr>
                <w:rFonts w:ascii="Times New Roman" w:eastAsia="宋体" w:hAnsi="Times New Roman" w:cs="Arial" w:hint="eastAsia"/>
                <w:sz w:val="20"/>
                <w:szCs w:val="20"/>
              </w:rPr>
              <w:t>有关</w:t>
            </w:r>
            <w:r w:rsidRPr="00AB4974">
              <w:rPr>
                <w:rFonts w:ascii="Times New Roman" w:eastAsia="宋体" w:hAnsi="Times New Roman" w:cs="Arial" w:hint="eastAsia"/>
                <w:sz w:val="20"/>
                <w:szCs w:val="20"/>
              </w:rPr>
              <w:t>OMERS</w:t>
            </w:r>
            <w:r w:rsidRPr="00AB4974">
              <w:rPr>
                <w:rFonts w:ascii="Times New Roman" w:eastAsia="宋体" w:hAnsi="Times New Roman" w:cs="Arial" w:hint="eastAsia"/>
                <w:sz w:val="20"/>
                <w:szCs w:val="20"/>
              </w:rPr>
              <w:t>和</w:t>
            </w:r>
            <w:r w:rsidRPr="00AB4974">
              <w:rPr>
                <w:rFonts w:ascii="Times New Roman" w:eastAsia="宋体" w:hAnsi="Times New Roman" w:cs="Arial" w:hint="eastAsia"/>
                <w:sz w:val="20"/>
                <w:szCs w:val="20"/>
              </w:rPr>
              <w:t>OAC</w:t>
            </w:r>
            <w:r w:rsidRPr="00AB4974">
              <w:rPr>
                <w:rFonts w:ascii="Times New Roman" w:eastAsia="宋体" w:hAnsi="Times New Roman" w:cs="Arial" w:hint="eastAsia"/>
                <w:sz w:val="20"/>
                <w:szCs w:val="20"/>
              </w:rPr>
              <w:t>的更多信息，请参见：</w:t>
            </w:r>
            <w:hyperlink r:id="rId8" w:history="1">
              <w:r w:rsidR="00DD1E3F" w:rsidRPr="00AB4974">
                <w:rPr>
                  <w:rStyle w:val="Hyperlink"/>
                  <w:rFonts w:ascii="Times New Roman" w:eastAsia="宋体" w:hAnsi="Times New Roman" w:cs="Arial" w:hint="eastAsia"/>
                  <w:sz w:val="20"/>
                  <w:szCs w:val="20"/>
                </w:rPr>
                <w:t>https://www.omers.com/</w:t>
              </w:r>
            </w:hyperlink>
            <w:r w:rsidR="00DD1E3F" w:rsidRPr="00AB4974">
              <w:rPr>
                <w:rFonts w:ascii="Times New Roman" w:eastAsia="宋体" w:hAnsi="Times New Roman" w:cs="Arial" w:hint="eastAsia"/>
                <w:sz w:val="20"/>
                <w:szCs w:val="20"/>
              </w:rPr>
              <w:t>。</w:t>
            </w:r>
          </w:p>
          <w:p w14:paraId="3507CBB7" w14:textId="2E74CF07" w:rsidR="00AB4974" w:rsidRPr="00AB4974" w:rsidRDefault="00AB4974" w:rsidP="00AB4974">
            <w:pPr>
              <w:adjustRightInd w:val="0"/>
              <w:snapToGrid w:val="0"/>
              <w:rPr>
                <w:rFonts w:ascii="Times New Roman" w:eastAsia="宋体" w:hAnsi="Times New Roman" w:cs="Arial" w:hint="eastAsia"/>
                <w:sz w:val="20"/>
                <w:szCs w:val="20"/>
              </w:rPr>
            </w:pPr>
          </w:p>
        </w:tc>
      </w:tr>
      <w:tr w:rsidR="001E22BB" w:rsidRPr="00AB4974" w14:paraId="7D68561E" w14:textId="77777777" w:rsidTr="008F2A34">
        <w:trPr>
          <w:trHeight w:val="404"/>
        </w:trPr>
        <w:tc>
          <w:tcPr>
            <w:tcW w:w="1670" w:type="dxa"/>
            <w:vMerge/>
            <w:shd w:val="clear" w:color="auto" w:fill="D9D9D9"/>
          </w:tcPr>
          <w:p w14:paraId="48E181A4" w14:textId="77777777" w:rsidR="00094095" w:rsidRPr="00AB4974" w:rsidRDefault="00094095" w:rsidP="00AB4974">
            <w:pPr>
              <w:adjustRightInd w:val="0"/>
              <w:snapToGrid w:val="0"/>
              <w:rPr>
                <w:rFonts w:ascii="Times New Roman" w:eastAsia="宋体" w:hAnsi="Times New Roman" w:cs="Arial"/>
                <w:sz w:val="20"/>
                <w:szCs w:val="20"/>
              </w:rPr>
            </w:pPr>
          </w:p>
        </w:tc>
        <w:tc>
          <w:tcPr>
            <w:tcW w:w="1302" w:type="dxa"/>
          </w:tcPr>
          <w:p w14:paraId="0E3758B2" w14:textId="581014F1" w:rsidR="00094095" w:rsidRPr="00AB4974" w:rsidRDefault="00094095"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sz w:val="20"/>
                <w:szCs w:val="20"/>
              </w:rPr>
              <w:t>2</w:t>
            </w:r>
            <w:r w:rsidRPr="00AB4974">
              <w:rPr>
                <w:rFonts w:ascii="Times New Roman" w:eastAsia="宋体" w:hAnsi="Times New Roman" w:cs="Arial"/>
                <w:sz w:val="20"/>
                <w:szCs w:val="20"/>
              </w:rPr>
              <w:t>、</w:t>
            </w:r>
            <w:r w:rsidR="00DD1E3F" w:rsidRPr="00AB4974">
              <w:rPr>
                <w:rFonts w:ascii="Times New Roman" w:eastAsia="宋体" w:hAnsi="Times New Roman" w:cs="Arial" w:hint="eastAsia"/>
                <w:sz w:val="20"/>
                <w:szCs w:val="20"/>
              </w:rPr>
              <w:t>高盛</w:t>
            </w:r>
          </w:p>
        </w:tc>
        <w:tc>
          <w:tcPr>
            <w:tcW w:w="5324" w:type="dxa"/>
          </w:tcPr>
          <w:p w14:paraId="5BDC658A" w14:textId="77777777" w:rsidR="001E22BB" w:rsidRDefault="00DD1E3F"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hint="eastAsia"/>
                <w:sz w:val="20"/>
                <w:szCs w:val="20"/>
              </w:rPr>
              <w:t>高盛是一家全球性投资银行、证券及投资管理公司，在全球范围内为企业、金融机构、政府和高净值个人等各领域的众多客户提供一系列银行、证券和投资服务。</w:t>
            </w:r>
            <w:r w:rsidR="001E22BB" w:rsidRPr="00AB4974">
              <w:rPr>
                <w:rFonts w:ascii="Times New Roman" w:eastAsia="宋体" w:hAnsi="Times New Roman" w:cs="Arial" w:hint="eastAsia"/>
                <w:sz w:val="20"/>
                <w:szCs w:val="20"/>
              </w:rPr>
              <w:t>有关高盛的更多信息，请参见：</w:t>
            </w:r>
            <w:hyperlink r:id="rId9" w:history="1">
              <w:r w:rsidR="001E22BB" w:rsidRPr="00AB4974">
                <w:rPr>
                  <w:rStyle w:val="Hyperlink"/>
                  <w:rFonts w:ascii="Times New Roman" w:eastAsia="宋体" w:hAnsi="Times New Roman" w:cs="Arial"/>
                  <w:sz w:val="20"/>
                  <w:szCs w:val="20"/>
                </w:rPr>
                <w:t>http://www.goldmansachs.com/</w:t>
              </w:r>
            </w:hyperlink>
            <w:r w:rsidR="001E22BB" w:rsidRPr="00AB4974">
              <w:rPr>
                <w:rFonts w:ascii="Times New Roman" w:eastAsia="宋体" w:hAnsi="Times New Roman" w:cs="Arial" w:hint="eastAsia"/>
                <w:sz w:val="20"/>
                <w:szCs w:val="20"/>
              </w:rPr>
              <w:t>。</w:t>
            </w:r>
          </w:p>
          <w:p w14:paraId="7C5253DE" w14:textId="0A54375B" w:rsidR="008F2A34" w:rsidRPr="00AB4974" w:rsidRDefault="008F2A34" w:rsidP="00AB4974">
            <w:pPr>
              <w:adjustRightInd w:val="0"/>
              <w:snapToGrid w:val="0"/>
              <w:rPr>
                <w:rFonts w:ascii="Times New Roman" w:eastAsia="宋体" w:hAnsi="Times New Roman" w:cs="Arial" w:hint="eastAsia"/>
                <w:sz w:val="20"/>
                <w:szCs w:val="20"/>
              </w:rPr>
            </w:pPr>
          </w:p>
        </w:tc>
      </w:tr>
      <w:tr w:rsidR="001E22BB" w:rsidRPr="00AB4974" w14:paraId="4D97D2C2" w14:textId="77777777" w:rsidTr="008F2A34">
        <w:trPr>
          <w:trHeight w:val="404"/>
        </w:trPr>
        <w:tc>
          <w:tcPr>
            <w:tcW w:w="1670" w:type="dxa"/>
            <w:vMerge/>
            <w:shd w:val="clear" w:color="auto" w:fill="D9D9D9"/>
          </w:tcPr>
          <w:p w14:paraId="26BCC173" w14:textId="77777777" w:rsidR="00051B00" w:rsidRPr="00AB4974" w:rsidRDefault="00051B00" w:rsidP="00AB4974">
            <w:pPr>
              <w:adjustRightInd w:val="0"/>
              <w:snapToGrid w:val="0"/>
              <w:rPr>
                <w:rFonts w:ascii="Times New Roman" w:eastAsia="宋体" w:hAnsi="Times New Roman" w:cs="Arial"/>
                <w:sz w:val="20"/>
                <w:szCs w:val="20"/>
              </w:rPr>
            </w:pPr>
          </w:p>
        </w:tc>
        <w:tc>
          <w:tcPr>
            <w:tcW w:w="1302" w:type="dxa"/>
          </w:tcPr>
          <w:p w14:paraId="325618B1" w14:textId="6A20F8AF" w:rsidR="00051B00" w:rsidRPr="00AB4974" w:rsidRDefault="00051B00"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sz w:val="20"/>
                <w:szCs w:val="20"/>
              </w:rPr>
              <w:t>3</w:t>
            </w:r>
            <w:r w:rsidRPr="00AB4974">
              <w:rPr>
                <w:rFonts w:ascii="Times New Roman" w:eastAsia="宋体" w:hAnsi="Times New Roman" w:cs="Arial"/>
                <w:sz w:val="20"/>
                <w:szCs w:val="20"/>
              </w:rPr>
              <w:t>、</w:t>
            </w:r>
            <w:r w:rsidR="001E22BB" w:rsidRPr="00AB4974">
              <w:rPr>
                <w:rFonts w:ascii="Times New Roman" w:eastAsia="宋体" w:hAnsi="Times New Roman" w:cs="Arial" w:hint="eastAsia"/>
                <w:sz w:val="20"/>
                <w:szCs w:val="20"/>
              </w:rPr>
              <w:t>安盛</w:t>
            </w:r>
          </w:p>
        </w:tc>
        <w:tc>
          <w:tcPr>
            <w:tcW w:w="5324" w:type="dxa"/>
          </w:tcPr>
          <w:p w14:paraId="23AA2740" w14:textId="77777777" w:rsidR="00051B00" w:rsidRDefault="001E22BB"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hint="eastAsia"/>
                <w:sz w:val="20"/>
                <w:szCs w:val="20"/>
              </w:rPr>
              <w:t>安盛集团是一家总部位于巴黎的全球保险集团。安盛的集团成员公司从事人寿、健康和其他形式的保险以及投资管理业务。安盛集团主要在西欧、北美、亚太和中东</w:t>
            </w:r>
            <w:r w:rsidR="00AA3396" w:rsidRPr="00AB4974">
              <w:rPr>
                <w:rFonts w:ascii="Times New Roman" w:eastAsia="宋体" w:hAnsi="Times New Roman" w:cs="Arial" w:hint="eastAsia"/>
                <w:sz w:val="20"/>
                <w:szCs w:val="20"/>
              </w:rPr>
              <w:t>地区</w:t>
            </w:r>
            <w:r w:rsidRPr="00AB4974">
              <w:rPr>
                <w:rFonts w:ascii="Times New Roman" w:eastAsia="宋体" w:hAnsi="Times New Roman" w:cs="Arial" w:hint="eastAsia"/>
                <w:sz w:val="20"/>
                <w:szCs w:val="20"/>
              </w:rPr>
              <w:t>开展业务。有关安盛集团业务活动的更多信息，请</w:t>
            </w:r>
            <w:r w:rsidR="00AA3396" w:rsidRPr="00AB4974">
              <w:rPr>
                <w:rFonts w:ascii="Times New Roman" w:eastAsia="宋体" w:hAnsi="Times New Roman" w:cs="Arial" w:hint="eastAsia"/>
                <w:sz w:val="20"/>
                <w:szCs w:val="20"/>
              </w:rPr>
              <w:t>参见</w:t>
            </w:r>
            <w:r w:rsidRPr="00AB4974">
              <w:rPr>
                <w:rFonts w:ascii="Times New Roman" w:eastAsia="宋体" w:hAnsi="Times New Roman" w:cs="Arial" w:hint="eastAsia"/>
                <w:sz w:val="20"/>
                <w:szCs w:val="20"/>
              </w:rPr>
              <w:t>其网站</w:t>
            </w:r>
            <w:hyperlink r:id="rId10" w:history="1">
              <w:r w:rsidRPr="00AB4974">
                <w:rPr>
                  <w:rStyle w:val="Hyperlink"/>
                  <w:rFonts w:ascii="Times New Roman" w:eastAsia="宋体" w:hAnsi="Times New Roman" w:cs="Arial" w:hint="eastAsia"/>
                  <w:sz w:val="20"/>
                  <w:szCs w:val="20"/>
                </w:rPr>
                <w:t>www.AXA.com</w:t>
              </w:r>
            </w:hyperlink>
            <w:r w:rsidRPr="00AB4974">
              <w:rPr>
                <w:rFonts w:ascii="Times New Roman" w:eastAsia="宋体" w:hAnsi="Times New Roman" w:cs="Arial" w:hint="eastAsia"/>
                <w:sz w:val="20"/>
                <w:szCs w:val="20"/>
              </w:rPr>
              <w:t>。</w:t>
            </w:r>
          </w:p>
          <w:p w14:paraId="2BFE15D2" w14:textId="313043EA" w:rsidR="008F2A34" w:rsidRPr="00AB4974" w:rsidRDefault="008F2A34" w:rsidP="00AB4974">
            <w:pPr>
              <w:adjustRightInd w:val="0"/>
              <w:snapToGrid w:val="0"/>
              <w:rPr>
                <w:rFonts w:ascii="Times New Roman" w:eastAsia="宋体" w:hAnsi="Times New Roman" w:cs="Arial" w:hint="eastAsia"/>
                <w:sz w:val="20"/>
                <w:szCs w:val="20"/>
              </w:rPr>
            </w:pPr>
          </w:p>
        </w:tc>
      </w:tr>
      <w:tr w:rsidR="001E22BB" w:rsidRPr="00AB4974" w14:paraId="7968A43B" w14:textId="77777777" w:rsidTr="008F2A34">
        <w:trPr>
          <w:trHeight w:val="404"/>
        </w:trPr>
        <w:tc>
          <w:tcPr>
            <w:tcW w:w="1670" w:type="dxa"/>
            <w:vMerge/>
            <w:shd w:val="clear" w:color="auto" w:fill="D9D9D9"/>
          </w:tcPr>
          <w:p w14:paraId="547D4287" w14:textId="77777777" w:rsidR="00051B00" w:rsidRPr="00AB4974" w:rsidRDefault="00051B00" w:rsidP="00AB4974">
            <w:pPr>
              <w:adjustRightInd w:val="0"/>
              <w:snapToGrid w:val="0"/>
              <w:rPr>
                <w:rFonts w:ascii="Times New Roman" w:eastAsia="宋体" w:hAnsi="Times New Roman" w:cs="Arial"/>
                <w:sz w:val="20"/>
                <w:szCs w:val="20"/>
              </w:rPr>
            </w:pPr>
          </w:p>
        </w:tc>
        <w:tc>
          <w:tcPr>
            <w:tcW w:w="1302" w:type="dxa"/>
          </w:tcPr>
          <w:p w14:paraId="646E1E04" w14:textId="398D50E3" w:rsidR="00051B00" w:rsidRPr="00AB4974" w:rsidRDefault="00051B00"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sz w:val="20"/>
                <w:szCs w:val="20"/>
              </w:rPr>
              <w:t>4</w:t>
            </w:r>
            <w:r w:rsidRPr="00AB4974">
              <w:rPr>
                <w:rFonts w:ascii="Times New Roman" w:eastAsia="宋体" w:hAnsi="Times New Roman" w:cs="Arial"/>
                <w:sz w:val="20"/>
                <w:szCs w:val="20"/>
              </w:rPr>
              <w:t>、</w:t>
            </w:r>
            <w:r w:rsidR="001E22BB" w:rsidRPr="00AB4974">
              <w:rPr>
                <w:rFonts w:ascii="Times New Roman" w:eastAsia="宋体" w:hAnsi="Times New Roman" w:cs="Arial" w:hint="eastAsia"/>
                <w:sz w:val="20"/>
                <w:szCs w:val="20"/>
              </w:rPr>
              <w:t>目标公司</w:t>
            </w:r>
          </w:p>
        </w:tc>
        <w:tc>
          <w:tcPr>
            <w:tcW w:w="5324" w:type="dxa"/>
          </w:tcPr>
          <w:p w14:paraId="7B619E10" w14:textId="4682221D" w:rsidR="00051B00" w:rsidRDefault="00AA3396"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hint="eastAsia"/>
                <w:sz w:val="20"/>
                <w:szCs w:val="20"/>
              </w:rPr>
              <w:t>目标公司是一家综合诊断服务提供商。其将医学实验室检验能力与跨领域患者护理能力相结合，为医生、客户提供诊断和治疗服务及指导。目标公司</w:t>
            </w:r>
            <w:r w:rsidR="008F2A34">
              <w:rPr>
                <w:rFonts w:ascii="Times New Roman" w:eastAsia="宋体" w:hAnsi="Times New Roman" w:cs="Arial" w:hint="eastAsia"/>
                <w:sz w:val="20"/>
                <w:szCs w:val="20"/>
              </w:rPr>
              <w:t>的</w:t>
            </w:r>
            <w:r w:rsidRPr="00AB4974">
              <w:rPr>
                <w:rFonts w:ascii="Times New Roman" w:eastAsia="宋体" w:hAnsi="Times New Roman" w:cs="Arial" w:hint="eastAsia"/>
                <w:sz w:val="20"/>
                <w:szCs w:val="20"/>
              </w:rPr>
              <w:t>核心市场为德国、比利时和奥地利。</w:t>
            </w:r>
            <w:r w:rsidR="001E22BB" w:rsidRPr="00AB4974">
              <w:rPr>
                <w:rFonts w:ascii="Times New Roman" w:eastAsia="宋体" w:hAnsi="Times New Roman" w:cs="Arial" w:hint="eastAsia"/>
                <w:sz w:val="20"/>
                <w:szCs w:val="20"/>
              </w:rPr>
              <w:t>目标公司集团在中国</w:t>
            </w:r>
            <w:r w:rsidR="008F2A34">
              <w:rPr>
                <w:rFonts w:ascii="Times New Roman" w:eastAsia="宋体" w:hAnsi="Times New Roman" w:cs="Arial" w:hint="eastAsia"/>
                <w:sz w:val="20"/>
                <w:szCs w:val="20"/>
              </w:rPr>
              <w:t>不存在</w:t>
            </w:r>
            <w:r w:rsidR="001E22BB" w:rsidRPr="00AB4974">
              <w:rPr>
                <w:rFonts w:ascii="Times New Roman" w:eastAsia="宋体" w:hAnsi="Times New Roman" w:cs="Arial" w:hint="eastAsia"/>
                <w:sz w:val="20"/>
                <w:szCs w:val="20"/>
              </w:rPr>
              <w:t>任何</w:t>
            </w:r>
            <w:r w:rsidR="008F2A34">
              <w:rPr>
                <w:rFonts w:ascii="Times New Roman" w:eastAsia="宋体" w:hAnsi="Times New Roman" w:cs="Arial" w:hint="eastAsia"/>
                <w:sz w:val="20"/>
                <w:szCs w:val="20"/>
              </w:rPr>
              <w:t>的</w:t>
            </w:r>
            <w:r w:rsidR="001E22BB" w:rsidRPr="00AB4974">
              <w:rPr>
                <w:rFonts w:ascii="Times New Roman" w:eastAsia="宋体" w:hAnsi="Times New Roman" w:cs="Arial" w:hint="eastAsia"/>
                <w:sz w:val="20"/>
                <w:szCs w:val="20"/>
              </w:rPr>
              <w:t>业务活动、</w:t>
            </w:r>
            <w:r w:rsidR="008F2A34">
              <w:rPr>
                <w:rFonts w:ascii="Times New Roman" w:eastAsia="宋体" w:hAnsi="Times New Roman" w:cs="Arial" w:hint="eastAsia"/>
                <w:sz w:val="20"/>
                <w:szCs w:val="20"/>
              </w:rPr>
              <w:t>营业额</w:t>
            </w:r>
            <w:r w:rsidR="001E22BB" w:rsidRPr="00AB4974">
              <w:rPr>
                <w:rFonts w:ascii="Times New Roman" w:eastAsia="宋体" w:hAnsi="Times New Roman" w:cs="Arial" w:hint="eastAsia"/>
                <w:sz w:val="20"/>
                <w:szCs w:val="20"/>
              </w:rPr>
              <w:t>或子公司。</w:t>
            </w:r>
          </w:p>
          <w:p w14:paraId="6F826BA6" w14:textId="51B0816A" w:rsidR="008F2A34" w:rsidRPr="00AB4974" w:rsidRDefault="008F2A34" w:rsidP="00AB4974">
            <w:pPr>
              <w:adjustRightInd w:val="0"/>
              <w:snapToGrid w:val="0"/>
              <w:rPr>
                <w:rFonts w:ascii="Times New Roman" w:eastAsia="宋体" w:hAnsi="Times New Roman" w:cs="Arial" w:hint="eastAsia"/>
                <w:sz w:val="20"/>
                <w:szCs w:val="20"/>
              </w:rPr>
            </w:pPr>
          </w:p>
        </w:tc>
      </w:tr>
      <w:tr w:rsidR="00094095" w:rsidRPr="00AB4974" w14:paraId="00E66482" w14:textId="77777777" w:rsidTr="001E22BB">
        <w:trPr>
          <w:trHeight w:val="279"/>
        </w:trPr>
        <w:tc>
          <w:tcPr>
            <w:tcW w:w="1670" w:type="dxa"/>
            <w:vMerge w:val="restart"/>
            <w:shd w:val="clear" w:color="auto" w:fill="D9D9D9"/>
          </w:tcPr>
          <w:p w14:paraId="4B3B46B7" w14:textId="77777777" w:rsidR="00094095" w:rsidRPr="00AB4974" w:rsidRDefault="00094095"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sz w:val="20"/>
                <w:szCs w:val="20"/>
              </w:rPr>
              <w:t>简易案件理由（</w:t>
            </w:r>
            <w:r w:rsidR="005F167B" w:rsidRPr="00AB4974">
              <w:rPr>
                <w:rFonts w:ascii="Times New Roman" w:eastAsia="宋体" w:hAnsi="Times New Roman" w:cs="Arial"/>
                <w:sz w:val="20"/>
                <w:szCs w:val="20"/>
              </w:rPr>
              <w:t>可以单选，也可以多选</w:t>
            </w:r>
            <w:r w:rsidRPr="00AB4974">
              <w:rPr>
                <w:rFonts w:ascii="Times New Roman" w:eastAsia="宋体" w:hAnsi="Times New Roman" w:cs="Arial"/>
                <w:sz w:val="20"/>
                <w:szCs w:val="20"/>
              </w:rPr>
              <w:t>）</w:t>
            </w:r>
          </w:p>
        </w:tc>
        <w:tc>
          <w:tcPr>
            <w:tcW w:w="6626" w:type="dxa"/>
            <w:gridSpan w:val="2"/>
          </w:tcPr>
          <w:p w14:paraId="3C14B166" w14:textId="77777777" w:rsidR="00094095" w:rsidRPr="00AB4974" w:rsidRDefault="000A22D8"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sz w:val="20"/>
                <w:szCs w:val="20"/>
              </w:rPr>
              <w:sym w:font="Wingdings" w:char="F0A8"/>
            </w:r>
            <w:r w:rsidR="00094095" w:rsidRPr="00AB4974">
              <w:rPr>
                <w:rFonts w:ascii="Times New Roman" w:eastAsia="宋体" w:hAnsi="Times New Roman" w:cs="Arial"/>
                <w:sz w:val="20"/>
                <w:szCs w:val="20"/>
              </w:rPr>
              <w:t>1</w:t>
            </w:r>
            <w:r w:rsidR="00094095" w:rsidRPr="00AB4974">
              <w:rPr>
                <w:rFonts w:ascii="Times New Roman" w:eastAsia="宋体" w:hAnsi="Times New Roman" w:cs="Arial"/>
                <w:sz w:val="20"/>
                <w:szCs w:val="20"/>
              </w:rPr>
              <w:t>、在同一相关市场，所有参与集中的经营者所占市场份额之和小于</w:t>
            </w:r>
            <w:r w:rsidR="00094095" w:rsidRPr="00AB4974">
              <w:rPr>
                <w:rFonts w:ascii="Times New Roman" w:eastAsia="宋体" w:hAnsi="Times New Roman" w:cs="Arial"/>
                <w:sz w:val="20"/>
                <w:szCs w:val="20"/>
              </w:rPr>
              <w:t>15%</w:t>
            </w:r>
            <w:r w:rsidR="00094095" w:rsidRPr="00AB4974">
              <w:rPr>
                <w:rFonts w:ascii="Times New Roman" w:eastAsia="宋体" w:hAnsi="Times New Roman" w:cs="Arial"/>
                <w:sz w:val="20"/>
                <w:szCs w:val="20"/>
              </w:rPr>
              <w:t>。</w:t>
            </w:r>
          </w:p>
        </w:tc>
      </w:tr>
      <w:tr w:rsidR="00094095" w:rsidRPr="00AB4974" w14:paraId="6287BFC1" w14:textId="77777777" w:rsidTr="001E22BB">
        <w:trPr>
          <w:trHeight w:val="330"/>
        </w:trPr>
        <w:tc>
          <w:tcPr>
            <w:tcW w:w="1670" w:type="dxa"/>
            <w:vMerge/>
            <w:shd w:val="clear" w:color="auto" w:fill="D9D9D9"/>
          </w:tcPr>
          <w:p w14:paraId="21AA8986" w14:textId="77777777" w:rsidR="00094095" w:rsidRPr="00AB4974" w:rsidRDefault="00094095" w:rsidP="00AB4974">
            <w:pPr>
              <w:adjustRightInd w:val="0"/>
              <w:snapToGrid w:val="0"/>
              <w:rPr>
                <w:rFonts w:ascii="Times New Roman" w:eastAsia="宋体" w:hAnsi="Times New Roman" w:cs="Arial"/>
                <w:sz w:val="20"/>
                <w:szCs w:val="20"/>
              </w:rPr>
            </w:pPr>
          </w:p>
        </w:tc>
        <w:tc>
          <w:tcPr>
            <w:tcW w:w="6626" w:type="dxa"/>
            <w:gridSpan w:val="2"/>
          </w:tcPr>
          <w:p w14:paraId="266A994C" w14:textId="77777777" w:rsidR="00094095" w:rsidRPr="00AB4974" w:rsidRDefault="000A22D8"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sz w:val="20"/>
                <w:szCs w:val="20"/>
              </w:rPr>
              <w:sym w:font="Wingdings" w:char="F0A8"/>
            </w:r>
            <w:r w:rsidR="00094095" w:rsidRPr="00AB4974">
              <w:rPr>
                <w:rFonts w:ascii="Times New Roman" w:eastAsia="宋体" w:hAnsi="Times New Roman" w:cs="Arial"/>
                <w:sz w:val="20"/>
                <w:szCs w:val="20"/>
              </w:rPr>
              <w:t>2</w:t>
            </w:r>
            <w:r w:rsidR="00094095" w:rsidRPr="00AB4974">
              <w:rPr>
                <w:rFonts w:ascii="Times New Roman" w:eastAsia="宋体" w:hAnsi="Times New Roman" w:cs="Arial"/>
                <w:sz w:val="20"/>
                <w:szCs w:val="20"/>
              </w:rPr>
              <w:t>、存在上下游关系的参与集中的经营者，在上下游市场所占的市场份额均小于</w:t>
            </w:r>
            <w:r w:rsidR="00094095" w:rsidRPr="00AB4974">
              <w:rPr>
                <w:rFonts w:ascii="Times New Roman" w:eastAsia="宋体" w:hAnsi="Times New Roman" w:cs="Arial"/>
                <w:sz w:val="20"/>
                <w:szCs w:val="20"/>
              </w:rPr>
              <w:t>25%</w:t>
            </w:r>
            <w:r w:rsidR="00094095" w:rsidRPr="00AB4974">
              <w:rPr>
                <w:rFonts w:ascii="Times New Roman" w:eastAsia="宋体" w:hAnsi="Times New Roman" w:cs="Arial"/>
                <w:sz w:val="20"/>
                <w:szCs w:val="20"/>
              </w:rPr>
              <w:t>。</w:t>
            </w:r>
          </w:p>
        </w:tc>
      </w:tr>
      <w:tr w:rsidR="00094095" w:rsidRPr="00AB4974" w14:paraId="41287531" w14:textId="77777777" w:rsidTr="001E22BB">
        <w:trPr>
          <w:trHeight w:val="285"/>
        </w:trPr>
        <w:tc>
          <w:tcPr>
            <w:tcW w:w="1670" w:type="dxa"/>
            <w:vMerge/>
            <w:shd w:val="clear" w:color="auto" w:fill="D9D9D9"/>
          </w:tcPr>
          <w:p w14:paraId="0CD427B8" w14:textId="77777777" w:rsidR="00094095" w:rsidRPr="00AB4974" w:rsidRDefault="00094095" w:rsidP="00AB4974">
            <w:pPr>
              <w:adjustRightInd w:val="0"/>
              <w:snapToGrid w:val="0"/>
              <w:rPr>
                <w:rFonts w:ascii="Times New Roman" w:eastAsia="宋体" w:hAnsi="Times New Roman" w:cs="Arial"/>
                <w:sz w:val="20"/>
                <w:szCs w:val="20"/>
              </w:rPr>
            </w:pPr>
          </w:p>
        </w:tc>
        <w:tc>
          <w:tcPr>
            <w:tcW w:w="6626" w:type="dxa"/>
            <w:gridSpan w:val="2"/>
          </w:tcPr>
          <w:p w14:paraId="42047C7C" w14:textId="77777777" w:rsidR="00094095" w:rsidRPr="00AB4974" w:rsidRDefault="000A22D8"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sz w:val="20"/>
                <w:szCs w:val="20"/>
              </w:rPr>
              <w:sym w:font="Wingdings" w:char="F0A8"/>
            </w:r>
            <w:r w:rsidR="00094095" w:rsidRPr="00AB4974">
              <w:rPr>
                <w:rFonts w:ascii="Times New Roman" w:eastAsia="宋体" w:hAnsi="Times New Roman" w:cs="Arial"/>
                <w:sz w:val="20"/>
                <w:szCs w:val="20"/>
              </w:rPr>
              <w:t>3</w:t>
            </w:r>
            <w:r w:rsidR="00094095" w:rsidRPr="00AB4974">
              <w:rPr>
                <w:rFonts w:ascii="Times New Roman" w:eastAsia="宋体" w:hAnsi="Times New Roman" w:cs="Arial"/>
                <w:sz w:val="20"/>
                <w:szCs w:val="20"/>
              </w:rPr>
              <w:t>、不在同一相关市场、也不存在上下游关系的参与集中的经营者，在与交易有关的每个市场所占的份额均小于</w:t>
            </w:r>
            <w:r w:rsidR="00094095" w:rsidRPr="00AB4974">
              <w:rPr>
                <w:rFonts w:ascii="Times New Roman" w:eastAsia="宋体" w:hAnsi="Times New Roman" w:cs="Arial"/>
                <w:sz w:val="20"/>
                <w:szCs w:val="20"/>
              </w:rPr>
              <w:t>25%</w:t>
            </w:r>
            <w:r w:rsidR="00094095" w:rsidRPr="00AB4974">
              <w:rPr>
                <w:rFonts w:ascii="Times New Roman" w:eastAsia="宋体" w:hAnsi="Times New Roman" w:cs="Arial"/>
                <w:sz w:val="20"/>
                <w:szCs w:val="20"/>
              </w:rPr>
              <w:t>。</w:t>
            </w:r>
          </w:p>
        </w:tc>
      </w:tr>
      <w:tr w:rsidR="00094095" w:rsidRPr="00AB4974" w14:paraId="2E6A2AA0" w14:textId="77777777" w:rsidTr="001E22BB">
        <w:trPr>
          <w:trHeight w:val="870"/>
        </w:trPr>
        <w:tc>
          <w:tcPr>
            <w:tcW w:w="1670" w:type="dxa"/>
            <w:vMerge/>
            <w:shd w:val="clear" w:color="auto" w:fill="D9D9D9"/>
          </w:tcPr>
          <w:p w14:paraId="4824B1F7" w14:textId="77777777" w:rsidR="00094095" w:rsidRPr="00AB4974" w:rsidRDefault="00094095" w:rsidP="00AB4974">
            <w:pPr>
              <w:adjustRightInd w:val="0"/>
              <w:snapToGrid w:val="0"/>
              <w:rPr>
                <w:rFonts w:ascii="Times New Roman" w:eastAsia="宋体" w:hAnsi="Times New Roman" w:cs="Arial"/>
                <w:sz w:val="20"/>
                <w:szCs w:val="20"/>
              </w:rPr>
            </w:pPr>
          </w:p>
        </w:tc>
        <w:tc>
          <w:tcPr>
            <w:tcW w:w="6626" w:type="dxa"/>
            <w:gridSpan w:val="2"/>
          </w:tcPr>
          <w:p w14:paraId="42CC306A" w14:textId="14F317A2" w:rsidR="00094095" w:rsidRPr="00AB4974" w:rsidRDefault="001E22BB"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sz w:val="20"/>
                <w:szCs w:val="20"/>
              </w:rPr>
              <w:sym w:font="Wingdings" w:char="F0A8"/>
            </w:r>
            <w:r w:rsidR="00094095" w:rsidRPr="00AB4974">
              <w:rPr>
                <w:rFonts w:ascii="Times New Roman" w:eastAsia="宋体" w:hAnsi="Times New Roman" w:cs="Arial"/>
                <w:sz w:val="20"/>
                <w:szCs w:val="20"/>
              </w:rPr>
              <w:t>4</w:t>
            </w:r>
            <w:r w:rsidR="00094095" w:rsidRPr="00AB4974">
              <w:rPr>
                <w:rFonts w:ascii="Times New Roman" w:eastAsia="宋体" w:hAnsi="Times New Roman" w:cs="Arial"/>
                <w:sz w:val="20"/>
                <w:szCs w:val="20"/>
              </w:rPr>
              <w:t>、参与集中的经营者在中国境外设立合营企业，合营企业不在中国境内从事经济活动。</w:t>
            </w:r>
          </w:p>
        </w:tc>
      </w:tr>
      <w:tr w:rsidR="00094095" w:rsidRPr="00AB4974" w14:paraId="1E656CAD" w14:textId="77777777" w:rsidTr="001E22BB">
        <w:trPr>
          <w:trHeight w:val="264"/>
        </w:trPr>
        <w:tc>
          <w:tcPr>
            <w:tcW w:w="1670" w:type="dxa"/>
            <w:vMerge/>
            <w:shd w:val="clear" w:color="auto" w:fill="D9D9D9"/>
          </w:tcPr>
          <w:p w14:paraId="39F206FB" w14:textId="77777777" w:rsidR="00094095" w:rsidRPr="00AB4974" w:rsidRDefault="00094095" w:rsidP="00AB4974">
            <w:pPr>
              <w:adjustRightInd w:val="0"/>
              <w:snapToGrid w:val="0"/>
              <w:rPr>
                <w:rFonts w:ascii="Times New Roman" w:eastAsia="宋体" w:hAnsi="Times New Roman" w:cs="Arial"/>
                <w:sz w:val="20"/>
                <w:szCs w:val="20"/>
              </w:rPr>
            </w:pPr>
          </w:p>
        </w:tc>
        <w:tc>
          <w:tcPr>
            <w:tcW w:w="6626" w:type="dxa"/>
            <w:gridSpan w:val="2"/>
          </w:tcPr>
          <w:p w14:paraId="15029045" w14:textId="77777777" w:rsidR="00094095" w:rsidRPr="00AB4974" w:rsidRDefault="000A22D8"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sz w:val="20"/>
                <w:szCs w:val="20"/>
              </w:rPr>
              <w:sym w:font="Wingdings" w:char="F0FE"/>
            </w:r>
            <w:r w:rsidR="00094095" w:rsidRPr="00AB4974">
              <w:rPr>
                <w:rFonts w:ascii="Times New Roman" w:eastAsia="宋体" w:hAnsi="Times New Roman" w:cs="Arial"/>
                <w:sz w:val="20"/>
                <w:szCs w:val="20"/>
              </w:rPr>
              <w:t>5</w:t>
            </w:r>
            <w:r w:rsidR="00094095" w:rsidRPr="00AB4974">
              <w:rPr>
                <w:rFonts w:ascii="Times New Roman" w:eastAsia="宋体" w:hAnsi="Times New Roman" w:cs="Arial"/>
                <w:sz w:val="20"/>
                <w:szCs w:val="20"/>
              </w:rPr>
              <w:t>、参与集中的经营者收购境外企业股权或资产的，该境外企业不在中国境内从事经济活动。</w:t>
            </w:r>
          </w:p>
        </w:tc>
      </w:tr>
      <w:tr w:rsidR="00094095" w:rsidRPr="00AB4974" w14:paraId="5F996962" w14:textId="77777777" w:rsidTr="001E22BB">
        <w:trPr>
          <w:trHeight w:val="345"/>
        </w:trPr>
        <w:tc>
          <w:tcPr>
            <w:tcW w:w="1670" w:type="dxa"/>
            <w:vMerge/>
            <w:shd w:val="clear" w:color="auto" w:fill="D9D9D9"/>
          </w:tcPr>
          <w:p w14:paraId="3406F8DF" w14:textId="77777777" w:rsidR="00094095" w:rsidRPr="00AB4974" w:rsidRDefault="00094095" w:rsidP="00AB4974">
            <w:pPr>
              <w:adjustRightInd w:val="0"/>
              <w:snapToGrid w:val="0"/>
              <w:rPr>
                <w:rFonts w:ascii="Times New Roman" w:eastAsia="宋体" w:hAnsi="Times New Roman" w:cs="Arial"/>
                <w:sz w:val="20"/>
                <w:szCs w:val="20"/>
              </w:rPr>
            </w:pPr>
          </w:p>
        </w:tc>
        <w:tc>
          <w:tcPr>
            <w:tcW w:w="6626" w:type="dxa"/>
            <w:gridSpan w:val="2"/>
          </w:tcPr>
          <w:p w14:paraId="0A865C8E" w14:textId="77777777" w:rsidR="00094095" w:rsidRPr="00AB4974" w:rsidRDefault="000A22D8"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sz w:val="20"/>
                <w:szCs w:val="20"/>
              </w:rPr>
              <w:sym w:font="Wingdings" w:char="F0A8"/>
            </w:r>
            <w:r w:rsidR="00094095" w:rsidRPr="00AB4974">
              <w:rPr>
                <w:rFonts w:ascii="Times New Roman" w:eastAsia="宋体" w:hAnsi="Times New Roman" w:cs="Arial"/>
                <w:sz w:val="20"/>
                <w:szCs w:val="20"/>
              </w:rPr>
              <w:t>6</w:t>
            </w:r>
            <w:r w:rsidR="00094095" w:rsidRPr="00AB4974">
              <w:rPr>
                <w:rFonts w:ascii="Times New Roman" w:eastAsia="宋体" w:hAnsi="Times New Roman" w:cs="Arial"/>
                <w:sz w:val="20"/>
                <w:szCs w:val="20"/>
              </w:rPr>
              <w:t>、由两个以上的经营者共同控制的合营企业，通过集中被其中一个或一个以上经营者控制。</w:t>
            </w:r>
          </w:p>
        </w:tc>
      </w:tr>
      <w:tr w:rsidR="00094095" w:rsidRPr="00AB4974" w14:paraId="251E7533" w14:textId="77777777" w:rsidTr="001E22BB">
        <w:tc>
          <w:tcPr>
            <w:tcW w:w="1670" w:type="dxa"/>
            <w:shd w:val="clear" w:color="auto" w:fill="D9D9D9"/>
          </w:tcPr>
          <w:p w14:paraId="1B6CBE7A" w14:textId="77777777" w:rsidR="00094095" w:rsidRPr="00AB4974" w:rsidRDefault="00094095"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sz w:val="20"/>
                <w:szCs w:val="20"/>
              </w:rPr>
              <w:t>备注</w:t>
            </w:r>
          </w:p>
        </w:tc>
        <w:tc>
          <w:tcPr>
            <w:tcW w:w="6626" w:type="dxa"/>
            <w:gridSpan w:val="2"/>
          </w:tcPr>
          <w:p w14:paraId="35D41B0C" w14:textId="71DCE3F8" w:rsidR="00094095" w:rsidRPr="00AB4974" w:rsidRDefault="001E22BB" w:rsidP="00AB4974">
            <w:pPr>
              <w:adjustRightInd w:val="0"/>
              <w:snapToGrid w:val="0"/>
              <w:rPr>
                <w:rFonts w:ascii="Times New Roman" w:eastAsia="宋体" w:hAnsi="Times New Roman" w:cs="Arial"/>
                <w:sz w:val="20"/>
                <w:szCs w:val="20"/>
              </w:rPr>
            </w:pPr>
            <w:r w:rsidRPr="00AB4974">
              <w:rPr>
                <w:rFonts w:ascii="Times New Roman" w:eastAsia="宋体" w:hAnsi="Times New Roman" w:cs="Arial" w:hint="eastAsia"/>
                <w:sz w:val="20"/>
                <w:szCs w:val="20"/>
              </w:rPr>
              <w:t>不适用</w:t>
            </w:r>
          </w:p>
        </w:tc>
      </w:tr>
    </w:tbl>
    <w:p w14:paraId="37398256" w14:textId="42229A67" w:rsidR="00F87C1F" w:rsidRPr="0049374F" w:rsidRDefault="00F87C1F" w:rsidP="001E22BB">
      <w:pPr>
        <w:spacing w:line="360" w:lineRule="auto"/>
        <w:rPr>
          <w:rFonts w:ascii="Arial" w:eastAsiaTheme="majorEastAsia" w:hAnsi="Arial" w:cs="Arial"/>
          <w:sz w:val="28"/>
          <w:szCs w:val="28"/>
        </w:rPr>
      </w:pPr>
    </w:p>
    <w:sectPr w:rsidR="00F87C1F" w:rsidRPr="0049374F" w:rsidSect="00ED21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A7C7E" w14:textId="77777777" w:rsidR="00FB0912" w:rsidRDefault="00FB0912" w:rsidP="00094095">
      <w:r>
        <w:separator/>
      </w:r>
    </w:p>
  </w:endnote>
  <w:endnote w:type="continuationSeparator" w:id="0">
    <w:p w14:paraId="1911370E" w14:textId="77777777" w:rsidR="00FB0912" w:rsidRDefault="00FB0912" w:rsidP="0009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CD5E4" w14:textId="77777777" w:rsidR="00FB0912" w:rsidRDefault="00FB0912" w:rsidP="00094095">
      <w:r>
        <w:separator/>
      </w:r>
    </w:p>
  </w:footnote>
  <w:footnote w:type="continuationSeparator" w:id="0">
    <w:p w14:paraId="6DF644FD" w14:textId="77777777" w:rsidR="00FB0912" w:rsidRDefault="00FB0912" w:rsidP="0009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23F68"/>
    <w:multiLevelType w:val="hybridMultilevel"/>
    <w:tmpl w:val="75EAF4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oNotTrackFormatting/>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95"/>
    <w:rsid w:val="000011C6"/>
    <w:rsid w:val="00051B00"/>
    <w:rsid w:val="000705EF"/>
    <w:rsid w:val="00094095"/>
    <w:rsid w:val="000A22D8"/>
    <w:rsid w:val="000A245B"/>
    <w:rsid w:val="000E0B36"/>
    <w:rsid w:val="000F336E"/>
    <w:rsid w:val="001E22BB"/>
    <w:rsid w:val="00231C6E"/>
    <w:rsid w:val="00245776"/>
    <w:rsid w:val="00290F7C"/>
    <w:rsid w:val="00294006"/>
    <w:rsid w:val="0029549A"/>
    <w:rsid w:val="002A3524"/>
    <w:rsid w:val="002F2D60"/>
    <w:rsid w:val="0030499D"/>
    <w:rsid w:val="00307976"/>
    <w:rsid w:val="003D3766"/>
    <w:rsid w:val="004076EE"/>
    <w:rsid w:val="00462174"/>
    <w:rsid w:val="0049374F"/>
    <w:rsid w:val="004B4F03"/>
    <w:rsid w:val="004F0E48"/>
    <w:rsid w:val="0055793B"/>
    <w:rsid w:val="005876DB"/>
    <w:rsid w:val="005F167B"/>
    <w:rsid w:val="00861481"/>
    <w:rsid w:val="008E2701"/>
    <w:rsid w:val="008F2A34"/>
    <w:rsid w:val="00931DCB"/>
    <w:rsid w:val="00A72158"/>
    <w:rsid w:val="00AA0218"/>
    <w:rsid w:val="00AA3396"/>
    <w:rsid w:val="00AB4974"/>
    <w:rsid w:val="00AB6C08"/>
    <w:rsid w:val="00AC2A41"/>
    <w:rsid w:val="00AC4529"/>
    <w:rsid w:val="00B35F88"/>
    <w:rsid w:val="00B955F5"/>
    <w:rsid w:val="00BA0750"/>
    <w:rsid w:val="00BB2377"/>
    <w:rsid w:val="00C03255"/>
    <w:rsid w:val="00C8523F"/>
    <w:rsid w:val="00C9068E"/>
    <w:rsid w:val="00CC62E2"/>
    <w:rsid w:val="00CE5EC4"/>
    <w:rsid w:val="00D21777"/>
    <w:rsid w:val="00D2324F"/>
    <w:rsid w:val="00D50AB5"/>
    <w:rsid w:val="00D62E3F"/>
    <w:rsid w:val="00DC254B"/>
    <w:rsid w:val="00DD1E3F"/>
    <w:rsid w:val="00DE29E8"/>
    <w:rsid w:val="00E36B53"/>
    <w:rsid w:val="00E677B7"/>
    <w:rsid w:val="00ED21B1"/>
    <w:rsid w:val="00F56B99"/>
    <w:rsid w:val="00F87C1F"/>
    <w:rsid w:val="00FB0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DF3F50"/>
  <w15:docId w15:val="{FF0503AE-D40C-4BC1-91DF-AE135A25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95"/>
    <w:pPr>
      <w:widowControl w:val="0"/>
      <w:jc w:val="both"/>
    </w:pPr>
    <w:rPr>
      <w:kern w:val="2"/>
      <w:sz w:val="21"/>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94095"/>
    <w:pPr>
      <w:snapToGrid w:val="0"/>
      <w:jc w:val="left"/>
    </w:pPr>
  </w:style>
  <w:style w:type="character" w:customStyle="1" w:styleId="EndnoteTextChar">
    <w:name w:val="Endnote Text Char"/>
    <w:basedOn w:val="DefaultParagraphFont"/>
    <w:link w:val="EndnoteText"/>
    <w:uiPriority w:val="99"/>
    <w:semiHidden/>
    <w:rsid w:val="00094095"/>
  </w:style>
  <w:style w:type="character" w:styleId="EndnoteReference">
    <w:name w:val="endnote reference"/>
    <w:uiPriority w:val="99"/>
    <w:semiHidden/>
    <w:unhideWhenUsed/>
    <w:rsid w:val="00094095"/>
    <w:rPr>
      <w:vertAlign w:val="superscript"/>
    </w:rPr>
  </w:style>
  <w:style w:type="paragraph" w:styleId="Header">
    <w:name w:val="header"/>
    <w:basedOn w:val="Normal"/>
    <w:link w:val="HeaderChar"/>
    <w:uiPriority w:val="99"/>
    <w:unhideWhenUsed/>
    <w:rsid w:val="00D217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D21777"/>
    <w:rPr>
      <w:sz w:val="18"/>
      <w:szCs w:val="18"/>
    </w:rPr>
  </w:style>
  <w:style w:type="paragraph" w:styleId="Footer">
    <w:name w:val="footer"/>
    <w:basedOn w:val="Normal"/>
    <w:link w:val="FooterChar"/>
    <w:uiPriority w:val="99"/>
    <w:unhideWhenUsed/>
    <w:rsid w:val="00D21777"/>
    <w:pPr>
      <w:tabs>
        <w:tab w:val="center" w:pos="4153"/>
        <w:tab w:val="right" w:pos="8306"/>
      </w:tabs>
      <w:snapToGrid w:val="0"/>
      <w:jc w:val="left"/>
    </w:pPr>
    <w:rPr>
      <w:sz w:val="18"/>
      <w:szCs w:val="18"/>
    </w:rPr>
  </w:style>
  <w:style w:type="character" w:customStyle="1" w:styleId="FooterChar">
    <w:name w:val="Footer Char"/>
    <w:link w:val="Footer"/>
    <w:uiPriority w:val="99"/>
    <w:rsid w:val="00D21777"/>
    <w:rPr>
      <w:sz w:val="18"/>
      <w:szCs w:val="18"/>
    </w:rPr>
  </w:style>
  <w:style w:type="character" w:styleId="Hyperlink">
    <w:name w:val="Hyperlink"/>
    <w:basedOn w:val="DefaultParagraphFont"/>
    <w:uiPriority w:val="99"/>
    <w:unhideWhenUsed/>
    <w:rsid w:val="00DD1E3F"/>
    <w:rPr>
      <w:color w:val="0000FF" w:themeColor="hyperlink"/>
      <w:u w:val="single"/>
    </w:rPr>
  </w:style>
  <w:style w:type="character" w:styleId="UnresolvedMention">
    <w:name w:val="Unresolved Mention"/>
    <w:basedOn w:val="DefaultParagraphFont"/>
    <w:uiPriority w:val="99"/>
    <w:semiHidden/>
    <w:unhideWhenUsed/>
    <w:rsid w:val="00DD1E3F"/>
    <w:rPr>
      <w:color w:val="605E5C"/>
      <w:shd w:val="clear" w:color="auto" w:fill="E1DFDD"/>
    </w:rPr>
  </w:style>
  <w:style w:type="character" w:styleId="FollowedHyperlink">
    <w:name w:val="FollowedHyperlink"/>
    <w:basedOn w:val="DefaultParagraphFont"/>
    <w:uiPriority w:val="99"/>
    <w:semiHidden/>
    <w:unhideWhenUsed/>
    <w:rsid w:val="001E22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Relationships xmlns="http://schemas.openxmlformats.org/package/2006/relationships"><Relationship TargetMode="External" Target="https://www.omers.com/" Type="http://schemas.openxmlformats.org/officeDocument/2006/relationships/hyperlink" Id="rId8"></Relationship><Relationship Target="styles.xml" Type="http://schemas.openxmlformats.org/officeDocument/2006/relationships/styles" Id="rId3"></Relationship><Relationship Target="endnotes.xml" Type="http://schemas.openxmlformats.org/officeDocument/2006/relationships/end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footnotes.xml" Type="http://schemas.openxmlformats.org/officeDocument/2006/relationships/footnotes" Id="rId6"></Relationship><Relationship Target="fontTable.xml" Type="http://schemas.openxmlformats.org/officeDocument/2006/relationships/fontTable" Id="rId11"></Relationship><Relationship Target="webSettings.xml" Type="http://schemas.openxmlformats.org/officeDocument/2006/relationships/webSettings" Id="rId5"></Relationship><Relationship TargetMode="External" Target="http://www.AXA.com" Type="http://schemas.openxmlformats.org/officeDocument/2006/relationships/hyperlink" Id="rId10"></Relationship><Relationship Target="settings.xml" Type="http://schemas.openxmlformats.org/officeDocument/2006/relationships/settings" Id="rId4"></Relationship><Relationship TargetMode="External" Target="http://www.goldmansachs.com/" Type="http://schemas.openxmlformats.org/officeDocument/2006/relationships/hyperlink"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itlesOfParts>
    <vt:vector size="1" baseType="lpstr">
      <vt:lpstr/>
    </vt:vector>
  </TitlesOfPart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