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EE" w:rsidRPr="009961A0" w:rsidRDefault="002708EE" w:rsidP="002708EE">
      <w:pPr>
        <w:widowControl w:val="0"/>
        <w:spacing w:after="0" w:line="440" w:lineRule="exact"/>
        <w:jc w:val="center"/>
        <w:rPr>
          <w:rFonts w:ascii="Times New Roman" w:eastAsia="华文楷体" w:hAnsi="Times New Roman" w:cs="Times New Roman"/>
          <w:b/>
          <w:kern w:val="2"/>
          <w:sz w:val="24"/>
          <w:szCs w:val="24"/>
        </w:rPr>
      </w:pPr>
      <w:r w:rsidRPr="009961A0">
        <w:rPr>
          <w:rFonts w:ascii="Times New Roman" w:eastAsia="华文楷体" w:hAnsi="Times New Roman" w:cs="Times New Roman"/>
          <w:b/>
          <w:kern w:val="2"/>
          <w:sz w:val="24"/>
          <w:szCs w:val="24"/>
        </w:rPr>
        <w:t>经营者集中简易案件公示表</w:t>
      </w:r>
    </w:p>
    <w:p w:rsidR="002708EE" w:rsidRPr="009961A0" w:rsidRDefault="002708EE" w:rsidP="002708EE">
      <w:pPr>
        <w:widowControl w:val="0"/>
        <w:spacing w:after="0" w:line="440" w:lineRule="exact"/>
        <w:ind w:firstLineChars="302" w:firstLine="725"/>
        <w:jc w:val="both"/>
        <w:rPr>
          <w:rFonts w:ascii="Times New Roman" w:eastAsia="华文楷体" w:hAnsi="Times New Roman" w:cs="Times New Roman"/>
          <w:kern w:val="2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5361"/>
      </w:tblGrid>
      <w:tr w:rsidR="002708EE" w:rsidRPr="009961A0" w:rsidTr="00181406">
        <w:tc>
          <w:tcPr>
            <w:tcW w:w="1809" w:type="dxa"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:rsidR="002708EE" w:rsidRPr="009961A0" w:rsidRDefault="003B4C5B" w:rsidP="005918C6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3B4C5B">
              <w:rPr>
                <w:rFonts w:ascii="Times New Roman" w:eastAsia="华文楷体" w:hAnsi="Times New Roman" w:cs="Times New Roman"/>
                <w:sz w:val="24"/>
                <w:szCs w:val="24"/>
              </w:rPr>
              <w:t>Kingsoft Cloud Holdings Limited</w:t>
            </w:r>
            <w:r w:rsidR="00DD4661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与</w:t>
            </w:r>
            <w:r w:rsidR="005918C6" w:rsidRPr="005918C6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Camelot Employee Scheme Inc.</w:t>
            </w:r>
            <w:r w:rsidR="00DD4661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合并</w:t>
            </w:r>
            <w:r w:rsidR="00963572" w:rsidRPr="00963572">
              <w:rPr>
                <w:rFonts w:ascii="Times New Roman" w:eastAsia="华文楷体" w:hAnsi="Times New Roman" w:cs="Times New Roman"/>
                <w:sz w:val="24"/>
                <w:szCs w:val="24"/>
              </w:rPr>
              <w:t>案</w:t>
            </w:r>
            <w:r w:rsidR="002708EE" w:rsidRPr="001D54D5">
              <w:rPr>
                <w:rFonts w:eastAsia="华文楷体" w:hint="eastAsia"/>
                <w:sz w:val="24"/>
                <w:szCs w:val="24"/>
              </w:rPr>
              <w:t>（“</w:t>
            </w:r>
            <w:r w:rsidR="002708EE" w:rsidRPr="001D54D5">
              <w:rPr>
                <w:rFonts w:eastAsia="华文楷体" w:hint="eastAsia"/>
                <w:b/>
                <w:bCs/>
                <w:sz w:val="24"/>
                <w:szCs w:val="24"/>
              </w:rPr>
              <w:t>本交易</w:t>
            </w:r>
            <w:r w:rsidR="002708EE" w:rsidRPr="001D54D5">
              <w:rPr>
                <w:rFonts w:eastAsia="华文楷体" w:hint="eastAsia"/>
                <w:sz w:val="24"/>
                <w:szCs w:val="24"/>
              </w:rPr>
              <w:t>”）</w:t>
            </w:r>
          </w:p>
        </w:tc>
      </w:tr>
      <w:tr w:rsidR="002708EE" w:rsidRPr="009961A0" w:rsidTr="00181406">
        <w:trPr>
          <w:trHeight w:val="993"/>
        </w:trPr>
        <w:tc>
          <w:tcPr>
            <w:tcW w:w="1809" w:type="dxa"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交易概况（限</w:t>
            </w: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200</w:t>
            </w: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:rsidR="002708EE" w:rsidRPr="00A61A0D" w:rsidRDefault="002708EE" w:rsidP="00574494">
            <w:pPr>
              <w:widowControl w:val="0"/>
              <w:adjustRightInd w:val="0"/>
              <w:snapToGrid w:val="0"/>
              <w:spacing w:after="120"/>
              <w:jc w:val="both"/>
              <w:rPr>
                <w:rFonts w:ascii="Times New Roman" w:eastAsia="华文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本交易涉及</w:t>
            </w:r>
            <w:r w:rsidR="003B4C5B" w:rsidRPr="003B4C5B">
              <w:rPr>
                <w:rFonts w:ascii="Times New Roman" w:eastAsia="华文楷体" w:hAnsi="Times New Roman" w:cs="Times New Roman"/>
                <w:bCs/>
                <w:sz w:val="24"/>
                <w:szCs w:val="24"/>
              </w:rPr>
              <w:t>Kingsoft Cloud Holdings Limited</w:t>
            </w:r>
            <w:r w:rsidR="00EB7FB5" w:rsidRPr="00EB7FB5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（</w:t>
            </w:r>
            <w:r w:rsidR="00EB7FB5" w:rsidRPr="00EB7FB5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“</w:t>
            </w:r>
            <w:r w:rsidR="003B4C5B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K</w:t>
            </w:r>
            <w:r w:rsidR="003B4C5B">
              <w:rPr>
                <w:rFonts w:ascii="Times New Roman" w:eastAsia="华文楷体" w:hAnsi="Times New Roman" w:cs="Times New Roman"/>
                <w:b/>
                <w:bCs/>
                <w:sz w:val="24"/>
                <w:szCs w:val="24"/>
              </w:rPr>
              <w:t>C</w:t>
            </w:r>
            <w:r w:rsidR="00EB7FB5" w:rsidRPr="00EB7FB5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”</w:t>
            </w:r>
            <w:r w:rsidR="00EB7FB5" w:rsidRPr="00EB7FB5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）</w:t>
            </w:r>
            <w:r w:rsidR="008341C3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吸收合并</w:t>
            </w:r>
            <w:r w:rsidR="005918C6" w:rsidRPr="005918C6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Camelot Employee Scheme Inc.</w:t>
            </w:r>
            <w:r w:rsidR="005918C6" w:rsidRPr="005918C6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（</w:t>
            </w:r>
            <w:r w:rsidR="005918C6" w:rsidRPr="005918C6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“</w:t>
            </w:r>
            <w:r w:rsidR="005918C6" w:rsidRPr="005918C6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CES</w:t>
            </w:r>
            <w:r w:rsidR="005918C6" w:rsidRPr="005918C6">
              <w:rPr>
                <w:rFonts w:ascii="Times New Roman" w:eastAsia="华文楷体" w:hAnsi="Times New Roman" w:cs="Times New Roman" w:hint="eastAsia"/>
                <w:b/>
                <w:bCs/>
                <w:sz w:val="24"/>
                <w:szCs w:val="24"/>
              </w:rPr>
              <w:t>”</w:t>
            </w:r>
            <w:r w:rsidR="005918C6" w:rsidRPr="005918C6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）</w:t>
            </w:r>
            <w:r w:rsidR="00001238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。</w:t>
            </w:r>
            <w:r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本交易前，</w:t>
            </w:r>
            <w:r w:rsidR="008D6798">
              <w:rPr>
                <w:rFonts w:ascii="Times New Roman" w:eastAsia="华文楷体" w:hAnsi="Times New Roman" w:cs="Times New Roman"/>
                <w:bCs/>
                <w:sz w:val="24"/>
                <w:szCs w:val="24"/>
              </w:rPr>
              <w:t>C</w:t>
            </w:r>
            <w:r w:rsidR="005918C6">
              <w:rPr>
                <w:rFonts w:ascii="Times New Roman" w:eastAsia="华文楷体" w:hAnsi="Times New Roman" w:cs="Times New Roman"/>
                <w:bCs/>
                <w:sz w:val="24"/>
                <w:szCs w:val="24"/>
              </w:rPr>
              <w:t>E</w:t>
            </w:r>
            <w:r w:rsidR="008D6798">
              <w:rPr>
                <w:rFonts w:ascii="Times New Roman" w:eastAsia="华文楷体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由</w:t>
            </w:r>
            <w:r w:rsidR="00001238" w:rsidRPr="00001238"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马一鸣和周鹤夫妇</w:t>
            </w:r>
            <w:r>
              <w:rPr>
                <w:rFonts w:ascii="Times New Roman" w:eastAsia="华文楷体" w:hAnsi="Times New Roman" w:cs="Times New Roman" w:hint="eastAsia"/>
                <w:bCs/>
                <w:sz w:val="24"/>
                <w:szCs w:val="24"/>
              </w:rPr>
              <w:t>控制。</w:t>
            </w:r>
            <w:r>
              <w:rPr>
                <w:rFonts w:eastAsia="华文楷体" w:hint="eastAsia"/>
                <w:sz w:val="24"/>
                <w:szCs w:val="24"/>
              </w:rPr>
              <w:t>本交易完成后，</w:t>
            </w:r>
            <w:r w:rsidR="003B4C5B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K</w:t>
            </w:r>
            <w:r w:rsidR="003B4C5B">
              <w:rPr>
                <w:rFonts w:ascii="Times New Roman" w:eastAsia="华文楷体" w:hAnsi="Times New Roman" w:cs="Times New Roman"/>
                <w:sz w:val="24"/>
                <w:szCs w:val="24"/>
              </w:rPr>
              <w:t>C</w:t>
            </w:r>
            <w:r w:rsidR="001D4B04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及关联方</w:t>
            </w:r>
            <w:r w:rsidR="0000123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取得对</w:t>
            </w:r>
            <w:r w:rsidR="008D6798">
              <w:rPr>
                <w:rFonts w:ascii="Times New Roman" w:eastAsia="华文楷体" w:hAnsi="Times New Roman" w:cs="Times New Roman"/>
                <w:sz w:val="24"/>
                <w:szCs w:val="24"/>
              </w:rPr>
              <w:t>C</w:t>
            </w:r>
            <w:r w:rsidR="005918C6">
              <w:rPr>
                <w:rFonts w:ascii="Times New Roman" w:eastAsia="华文楷体" w:hAnsi="Times New Roman" w:cs="Times New Roman"/>
                <w:sz w:val="24"/>
                <w:szCs w:val="24"/>
              </w:rPr>
              <w:t>E</w:t>
            </w:r>
            <w:r w:rsidR="008D6798">
              <w:rPr>
                <w:rFonts w:ascii="Times New Roman" w:eastAsia="华文楷体" w:hAnsi="Times New Roman" w:cs="Times New Roman"/>
                <w:sz w:val="24"/>
                <w:szCs w:val="24"/>
              </w:rPr>
              <w:t>S</w:t>
            </w:r>
            <w:r w:rsidR="0000123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的控制权</w:t>
            </w:r>
            <w:r>
              <w:rPr>
                <w:rFonts w:eastAsia="华文楷体" w:hint="eastAsia"/>
                <w:sz w:val="24"/>
                <w:szCs w:val="24"/>
              </w:rPr>
              <w:t>。</w:t>
            </w:r>
          </w:p>
        </w:tc>
      </w:tr>
      <w:tr w:rsidR="002708EE" w:rsidRPr="001959A0" w:rsidTr="003B4C5B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2708EE" w:rsidRPr="009961A0" w:rsidRDefault="002708EE" w:rsidP="00181406">
            <w:pPr>
              <w:widowControl w:val="0"/>
              <w:spacing w:after="0" w:line="500" w:lineRule="exact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参与集中的经营者简介</w:t>
            </w:r>
          </w:p>
        </w:tc>
        <w:tc>
          <w:tcPr>
            <w:tcW w:w="1588" w:type="dxa"/>
            <w:vAlign w:val="center"/>
          </w:tcPr>
          <w:p w:rsidR="002708EE" w:rsidRPr="009961A0" w:rsidRDefault="003B4C5B" w:rsidP="00181406">
            <w:pPr>
              <w:widowControl w:val="0"/>
              <w:adjustRightInd w:val="0"/>
              <w:snapToGrid w:val="0"/>
              <w:spacing w:after="120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KC</w:t>
            </w:r>
          </w:p>
        </w:tc>
        <w:tc>
          <w:tcPr>
            <w:tcW w:w="5361" w:type="dxa"/>
          </w:tcPr>
          <w:p w:rsidR="002708EE" w:rsidRPr="009961A0" w:rsidRDefault="003B4C5B" w:rsidP="003B4C5B">
            <w:pPr>
              <w:adjustRightInd w:val="0"/>
              <w:snapToGrid w:val="0"/>
              <w:spacing w:after="120"/>
              <w:jc w:val="both"/>
              <w:rPr>
                <w:rFonts w:ascii="Times New Roman" w:eastAsia="华文楷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  <w:lang w:val="en-GB"/>
              </w:rPr>
              <w:t>C</w:t>
            </w:r>
            <w:r w:rsidR="002B6D71"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是一家在</w:t>
            </w:r>
            <w:r w:rsidR="005918C6" w:rsidRPr="005918C6"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开曼</w:t>
            </w:r>
            <w:r w:rsidR="002B6D71"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注册成立的</w:t>
            </w:r>
            <w:r w:rsidR="005918C6"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公司，在美国纳斯达克证券交易所上市。</w:t>
            </w:r>
            <w:r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  <w:lang w:val="en-GB"/>
              </w:rPr>
              <w:t>C</w:t>
            </w:r>
            <w:r w:rsidR="005918C6" w:rsidRPr="005918C6">
              <w:rPr>
                <w:rFonts w:ascii="Times New Roman" w:eastAsia="华文楷体" w:hAnsi="Times New Roman" w:cs="Times New Roman" w:hint="eastAsia"/>
                <w:sz w:val="24"/>
                <w:szCs w:val="24"/>
                <w:lang w:val="en-GB"/>
              </w:rPr>
              <w:t>是一家独立的云服务提供商。</w:t>
            </w:r>
          </w:p>
        </w:tc>
      </w:tr>
      <w:tr w:rsidR="003A2BDE" w:rsidRPr="009961A0" w:rsidTr="003B4C5B">
        <w:trPr>
          <w:trHeight w:val="1377"/>
        </w:trPr>
        <w:tc>
          <w:tcPr>
            <w:tcW w:w="1809" w:type="dxa"/>
            <w:vMerge/>
            <w:shd w:val="clear" w:color="auto" w:fill="D9D9D9"/>
          </w:tcPr>
          <w:p w:rsidR="003A2BDE" w:rsidRPr="009961A0" w:rsidRDefault="003A2BD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A2BDE" w:rsidRPr="009961A0" w:rsidRDefault="003B4C5B" w:rsidP="003A2BDE">
            <w:pPr>
              <w:widowControl w:val="0"/>
              <w:adjustRightInd w:val="0"/>
              <w:snapToGrid w:val="0"/>
              <w:spacing w:after="120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CES</w:t>
            </w:r>
          </w:p>
        </w:tc>
        <w:tc>
          <w:tcPr>
            <w:tcW w:w="5361" w:type="dxa"/>
          </w:tcPr>
          <w:p w:rsidR="003A2BDE" w:rsidRPr="009961A0" w:rsidRDefault="005918C6" w:rsidP="00243EC8">
            <w:pPr>
              <w:adjustRightInd w:val="0"/>
              <w:snapToGrid w:val="0"/>
              <w:spacing w:after="120"/>
              <w:jc w:val="both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CE</w:t>
            </w:r>
            <w:r w:rsidR="008D6798">
              <w:rPr>
                <w:rFonts w:ascii="Times New Roman" w:eastAsia="华文楷体" w:hAnsi="Times New Roman" w:cs="Times New Roman"/>
                <w:sz w:val="24"/>
                <w:szCs w:val="24"/>
              </w:rPr>
              <w:t>S</w:t>
            </w:r>
            <w:r w:rsidR="002B6D71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是一家在</w:t>
            </w:r>
            <w:r w:rsidR="00963572" w:rsidRPr="00963572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英属维京群岛</w:t>
            </w:r>
            <w:r w:rsidR="002B6D71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注册成立的公司</w:t>
            </w:r>
            <w:r w:rsidR="00243EC8">
              <w:rPr>
                <w:rFonts w:ascii="Times New Roman" w:eastAsia="华文楷体" w:hAnsi="Times New Roman" w:cs="Times New Roman"/>
                <w:sz w:val="24"/>
                <w:szCs w:val="24"/>
              </w:rPr>
              <w:t>，</w:t>
            </w:r>
            <w:r w:rsidR="00963572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最终控制人</w:t>
            </w:r>
            <w:r w:rsidR="00243EC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为</w:t>
            </w:r>
            <w:r w:rsidR="00963572" w:rsidRPr="00963572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马一鸣和周鹤夫妇</w:t>
            </w:r>
            <w:r w:rsidR="00243EC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。</w:t>
            </w:r>
            <w:r w:rsidR="00243EC8" w:rsidRPr="00243EC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CES</w:t>
            </w:r>
            <w:r w:rsidR="00243EC8" w:rsidRPr="00243EC8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在中国境内通过其控制的</w:t>
            </w:r>
            <w:r w:rsidR="00D07F55" w:rsidRPr="00D07F55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柯莱特科技股份有限公司</w:t>
            </w:r>
            <w:r w:rsidR="00963572" w:rsidRPr="00963572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为</w:t>
            </w:r>
            <w:r w:rsidR="00DC5D53" w:rsidRPr="00DC5D53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大型企业</w:t>
            </w:r>
            <w:r w:rsidR="00963572" w:rsidRPr="00963572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提供软件开发与维护服务、流程运营服务等。</w:t>
            </w:r>
          </w:p>
        </w:tc>
      </w:tr>
      <w:tr w:rsidR="002708EE" w:rsidRPr="009961A0" w:rsidTr="00181406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sz w:val="24"/>
                <w:szCs w:val="24"/>
              </w:rPr>
              <w:sym w:font="Wingdings" w:char="F0A8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1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、在同一相关市场，所有参与集中的经营者所占市场份额之和小于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15%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。</w:t>
            </w:r>
          </w:p>
        </w:tc>
      </w:tr>
      <w:tr w:rsidR="002708EE" w:rsidRPr="009961A0" w:rsidTr="00181406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sz w:val="24"/>
                <w:szCs w:val="24"/>
              </w:rPr>
              <w:sym w:font="Wingdings" w:char="F0A8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2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、存在上下游关系的参与集中的经营者，在上下游市场所占的市场份额均小于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25%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。</w:t>
            </w:r>
          </w:p>
        </w:tc>
      </w:tr>
      <w:tr w:rsidR="002708EE" w:rsidRPr="009961A0" w:rsidTr="00181406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黑体"/>
                <w:szCs w:val="21"/>
              </w:rPr>
              <w:sym w:font="Wingdings" w:char="F0FE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3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25%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。</w:t>
            </w:r>
          </w:p>
        </w:tc>
      </w:tr>
      <w:tr w:rsidR="002708EE" w:rsidRPr="009961A0" w:rsidTr="00181406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sz w:val="24"/>
                <w:szCs w:val="24"/>
              </w:rPr>
              <w:sym w:font="Wingdings" w:char="F0A8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4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2708EE" w:rsidRPr="009961A0" w:rsidTr="00181406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sz w:val="24"/>
                <w:szCs w:val="24"/>
              </w:rPr>
              <w:sym w:font="Wingdings" w:char="F0A8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5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2708EE" w:rsidRPr="009961A0" w:rsidTr="00181406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sz w:val="24"/>
                <w:szCs w:val="24"/>
              </w:rPr>
              <w:sym w:font="Wingdings" w:char="F0A8"/>
            </w:r>
            <w:r w:rsidRPr="009961A0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6</w:t>
            </w:r>
            <w:r w:rsidRPr="009961A0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2708EE" w:rsidRPr="009961A0" w:rsidTr="00181406">
        <w:tc>
          <w:tcPr>
            <w:tcW w:w="1809" w:type="dxa"/>
            <w:shd w:val="clear" w:color="auto" w:fill="D9D9D9"/>
          </w:tcPr>
          <w:p w:rsidR="002708EE" w:rsidRPr="009961A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</w:pPr>
            <w:r w:rsidRPr="009961A0">
              <w:rPr>
                <w:rFonts w:ascii="Times New Roman" w:eastAsia="华文楷体" w:hAnsi="Times New Roman" w:cs="Times New Roman"/>
                <w:b/>
                <w:kern w:val="2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:rsidR="002708EE" w:rsidRPr="00DB21B0" w:rsidRDefault="002708EE" w:rsidP="0018140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 w:rsidRPr="00DB21B0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本交易涉及</w:t>
            </w:r>
            <w:r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的相关商品市场为</w:t>
            </w:r>
            <w:r w:rsidR="00616875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软件</w:t>
            </w:r>
            <w:r w:rsidR="00E57FA6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开发与维护</w:t>
            </w:r>
            <w:r w:rsidR="00616875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服务</w:t>
            </w:r>
            <w:r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市场，相关地域市场为</w:t>
            </w:r>
            <w:r w:rsidR="00616875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中国</w:t>
            </w:r>
            <w:r w:rsidR="00537ADE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境内</w:t>
            </w:r>
            <w:r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市场。市场份额如下</w:t>
            </w:r>
            <w:r w:rsidRPr="00DB21B0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：</w:t>
            </w:r>
          </w:p>
          <w:p w:rsidR="002708EE" w:rsidRPr="009961A0" w:rsidRDefault="00963572" w:rsidP="005918C6">
            <w:pPr>
              <w:widowControl w:val="0"/>
              <w:spacing w:after="0" w:line="500" w:lineRule="exact"/>
              <w:jc w:val="both"/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C</w:t>
            </w:r>
            <w:r w:rsidR="005918C6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E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S</w:t>
            </w:r>
            <w:r w:rsidR="002708EE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：</w:t>
            </w:r>
            <w:r w:rsidR="002708EE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[</w:t>
            </w:r>
            <w:r w:rsidR="002708EE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0-</w:t>
            </w:r>
            <w:r w:rsidR="00616875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5</w:t>
            </w:r>
            <w:r w:rsidR="002708EE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]%</w:t>
            </w:r>
          </w:p>
        </w:tc>
      </w:tr>
    </w:tbl>
    <w:p w:rsidR="00D15B3D" w:rsidRDefault="00D15B3D"/>
    <w:sectPr w:rsidR="00D15B3D" w:rsidSect="00ED21B1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34" w:rsidRDefault="00D75034">
      <w:pPr>
        <w:spacing w:after="0" w:line="240" w:lineRule="auto"/>
      </w:pPr>
      <w:r>
        <w:separator/>
      </w:r>
    </w:p>
  </w:endnote>
  <w:endnote w:type="continuationSeparator" w:id="0">
    <w:p w:rsidR="00D75034" w:rsidRDefault="00D75034">
      <w:pPr>
        <w:spacing w:after="0" w:line="240" w:lineRule="auto"/>
      </w:pPr>
      <w:r>
        <w:continuationSeparator/>
      </w:r>
    </w:p>
  </w:endnote>
  <w:endnote w:type="continuationNotice" w:id="1">
    <w:p w:rsidR="00D75034" w:rsidRDefault="00D75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8" w:rsidRDefault="00D75034">
    <w:pPr>
      <w:pStyle w:val="a3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8" w:rsidRDefault="001D4B04">
    <w:pPr>
      <w:pStyle w:val="a3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2754BF" wp14:editId="24EB0ED6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F58" w:rsidRDefault="00D7503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1D4B04">
                            <w:t>HKG3834522</w:t>
                          </w:r>
                          <w:r>
                            <w:fldChar w:fldCharType="end"/>
                          </w:r>
                          <w:r w:rsidR="001D4B04">
                            <w:fldChar w:fldCharType="begin"/>
                          </w:r>
                          <w:r w:rsidR="001D4B0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1D4B04">
                            <w:instrText>true</w:instrText>
                          </w:r>
                          <w:r>
                            <w:fldChar w:fldCharType="end"/>
                          </w:r>
                          <w:r w:rsidR="001D4B0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1D4B04">
                            <w:instrText>1</w:instrText>
                          </w:r>
                          <w:r>
                            <w:fldChar w:fldCharType="end"/>
                          </w:r>
                          <w:r w:rsidR="001D4B04">
                            <w:instrText>"</w:instrText>
                          </w:r>
                          <w:r w:rsidR="001D4B04">
                            <w:fldChar w:fldCharType="separate"/>
                          </w:r>
                          <w:r w:rsidR="001D4B04">
                            <w:rPr>
                              <w:noProof/>
                            </w:rPr>
                            <w:t>/1</w:t>
                          </w:r>
                          <w:r w:rsidR="001D4B04">
                            <w:fldChar w:fldCharType="end"/>
                          </w:r>
                          <w:r w:rsidR="001D4B04">
                            <w:t xml:space="preserve">   </w:t>
                          </w:r>
                          <w:r w:rsidR="001D4B04">
                            <w:fldChar w:fldCharType="begin"/>
                          </w:r>
                          <w:r w:rsidR="001D4B0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1D4B04">
                            <w:instrText>true</w:instrText>
                          </w:r>
                          <w:r>
                            <w:fldChar w:fldCharType="end"/>
                          </w:r>
                          <w:r w:rsidR="001D4B0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1D4B04">
                            <w:instrText>167100-0004</w:instrText>
                          </w:r>
                          <w:r>
                            <w:fldChar w:fldCharType="end"/>
                          </w:r>
                          <w:r w:rsidR="001D4B04">
                            <w:instrText xml:space="preserve">  </w:instrText>
                          </w:r>
                          <w:r w:rsidR="001D4B04">
                            <w:fldChar w:fldCharType="separate"/>
                          </w:r>
                          <w:r w:rsidR="001D4B04">
                            <w:rPr>
                              <w:noProof/>
                            </w:rPr>
                            <w:t>167100-0004</w:t>
                          </w:r>
                          <w:r w:rsidR="001D4B04">
                            <w:fldChar w:fldCharType="end"/>
                          </w:r>
                        </w:p>
                        <w:p w:rsidR="00417F58" w:rsidRDefault="00D7503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75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VJqwIAAKk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" filled="f" stroked="f">
              <v:textbox inset="0,0,0,0">
                <w:txbxContent>
                  <w:p w:rsidR="00417F58" w:rsidRDefault="00D75034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1D4B04">
                      <w:t>HKG3834522</w:t>
                    </w:r>
                    <w:r>
                      <w:fldChar w:fldCharType="end"/>
                    </w:r>
                    <w:r w:rsidR="001D4B04">
                      <w:fldChar w:fldCharType="begin"/>
                    </w:r>
                    <w:r w:rsidR="001D4B0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1D4B04">
                      <w:instrText>true</w:instrText>
                    </w:r>
                    <w:r>
                      <w:fldChar w:fldCharType="end"/>
                    </w:r>
                    <w:r w:rsidR="001D4B0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1D4B04">
                      <w:instrText>1</w:instrText>
                    </w:r>
                    <w:r>
                      <w:fldChar w:fldCharType="end"/>
                    </w:r>
                    <w:r w:rsidR="001D4B04">
                      <w:instrText>"</w:instrText>
                    </w:r>
                    <w:r w:rsidR="001D4B04">
                      <w:fldChar w:fldCharType="separate"/>
                    </w:r>
                    <w:r w:rsidR="001D4B04">
                      <w:rPr>
                        <w:noProof/>
                      </w:rPr>
                      <w:t>/1</w:t>
                    </w:r>
                    <w:r w:rsidR="001D4B04">
                      <w:fldChar w:fldCharType="end"/>
                    </w:r>
                    <w:r w:rsidR="001D4B04">
                      <w:t xml:space="preserve">   </w:t>
                    </w:r>
                    <w:r w:rsidR="001D4B04">
                      <w:fldChar w:fldCharType="begin"/>
                    </w:r>
                    <w:r w:rsidR="001D4B0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1D4B04">
                      <w:instrText>true</w:instrText>
                    </w:r>
                    <w:r>
                      <w:fldChar w:fldCharType="end"/>
                    </w:r>
                    <w:r w:rsidR="001D4B0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1D4B04">
                      <w:instrText>167100-0004</w:instrText>
                    </w:r>
                    <w:r>
                      <w:fldChar w:fldCharType="end"/>
                    </w:r>
                    <w:r w:rsidR="001D4B04">
                      <w:instrText xml:space="preserve">  </w:instrText>
                    </w:r>
                    <w:r w:rsidR="001D4B04">
                      <w:fldChar w:fldCharType="separate"/>
                    </w:r>
                    <w:r w:rsidR="001D4B04">
                      <w:rPr>
                        <w:noProof/>
                      </w:rPr>
                      <w:t>167100-0004</w:t>
                    </w:r>
                    <w:r w:rsidR="001D4B04">
                      <w:fldChar w:fldCharType="end"/>
                    </w:r>
                  </w:p>
                  <w:p w:rsidR="00417F58" w:rsidRDefault="00D7503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34" w:rsidRDefault="00D75034">
      <w:pPr>
        <w:spacing w:after="0" w:line="240" w:lineRule="auto"/>
      </w:pPr>
      <w:r>
        <w:separator/>
      </w:r>
    </w:p>
  </w:footnote>
  <w:footnote w:type="continuationSeparator" w:id="0">
    <w:p w:rsidR="00D75034" w:rsidRDefault="00D75034">
      <w:pPr>
        <w:spacing w:after="0" w:line="240" w:lineRule="auto"/>
      </w:pPr>
      <w:r>
        <w:continuationSeparator/>
      </w:r>
    </w:p>
  </w:footnote>
  <w:footnote w:type="continuationNotice" w:id="1">
    <w:p w:rsidR="00D75034" w:rsidRDefault="00D7503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E"/>
    <w:rsid w:val="00001238"/>
    <w:rsid w:val="000031F7"/>
    <w:rsid w:val="00012C30"/>
    <w:rsid w:val="000A5D17"/>
    <w:rsid w:val="000A7CCD"/>
    <w:rsid w:val="001801DD"/>
    <w:rsid w:val="001C1D2C"/>
    <w:rsid w:val="001D4B04"/>
    <w:rsid w:val="00210048"/>
    <w:rsid w:val="002151C3"/>
    <w:rsid w:val="002264D6"/>
    <w:rsid w:val="00243EC8"/>
    <w:rsid w:val="00254A5C"/>
    <w:rsid w:val="002708EE"/>
    <w:rsid w:val="002B6D71"/>
    <w:rsid w:val="00321A3D"/>
    <w:rsid w:val="00371D45"/>
    <w:rsid w:val="00372EA0"/>
    <w:rsid w:val="00386C82"/>
    <w:rsid w:val="003A2BDE"/>
    <w:rsid w:val="003B4C5B"/>
    <w:rsid w:val="003C21E0"/>
    <w:rsid w:val="00421C49"/>
    <w:rsid w:val="00433227"/>
    <w:rsid w:val="00435B01"/>
    <w:rsid w:val="004514AB"/>
    <w:rsid w:val="00454E43"/>
    <w:rsid w:val="004B71FC"/>
    <w:rsid w:val="00537ADE"/>
    <w:rsid w:val="00574494"/>
    <w:rsid w:val="005918C6"/>
    <w:rsid w:val="005A7840"/>
    <w:rsid w:val="005C43AB"/>
    <w:rsid w:val="005C48B0"/>
    <w:rsid w:val="005C7510"/>
    <w:rsid w:val="005D5DEF"/>
    <w:rsid w:val="006166C2"/>
    <w:rsid w:val="00616875"/>
    <w:rsid w:val="00621C0F"/>
    <w:rsid w:val="006C00CF"/>
    <w:rsid w:val="006D1AE4"/>
    <w:rsid w:val="006F102F"/>
    <w:rsid w:val="00714A9A"/>
    <w:rsid w:val="00762722"/>
    <w:rsid w:val="00763334"/>
    <w:rsid w:val="00785B8D"/>
    <w:rsid w:val="00822564"/>
    <w:rsid w:val="00822697"/>
    <w:rsid w:val="008341C3"/>
    <w:rsid w:val="0083655B"/>
    <w:rsid w:val="008A307F"/>
    <w:rsid w:val="008C4FEB"/>
    <w:rsid w:val="008C6809"/>
    <w:rsid w:val="008D6798"/>
    <w:rsid w:val="00922711"/>
    <w:rsid w:val="00923C1E"/>
    <w:rsid w:val="00935437"/>
    <w:rsid w:val="00963572"/>
    <w:rsid w:val="009A7B5B"/>
    <w:rsid w:val="009F0705"/>
    <w:rsid w:val="00AF1152"/>
    <w:rsid w:val="00B23EDC"/>
    <w:rsid w:val="00B55B4A"/>
    <w:rsid w:val="00B56C2E"/>
    <w:rsid w:val="00B7650A"/>
    <w:rsid w:val="00BD26F6"/>
    <w:rsid w:val="00C01966"/>
    <w:rsid w:val="00C27AF8"/>
    <w:rsid w:val="00C620D3"/>
    <w:rsid w:val="00C62305"/>
    <w:rsid w:val="00C72E64"/>
    <w:rsid w:val="00CF31DC"/>
    <w:rsid w:val="00D07F55"/>
    <w:rsid w:val="00D15B3D"/>
    <w:rsid w:val="00D67C66"/>
    <w:rsid w:val="00D75034"/>
    <w:rsid w:val="00D8536A"/>
    <w:rsid w:val="00DB51CA"/>
    <w:rsid w:val="00DC5D53"/>
    <w:rsid w:val="00DD0A98"/>
    <w:rsid w:val="00DD4661"/>
    <w:rsid w:val="00E2204B"/>
    <w:rsid w:val="00E3061A"/>
    <w:rsid w:val="00E57FA6"/>
    <w:rsid w:val="00E85D7C"/>
    <w:rsid w:val="00E95706"/>
    <w:rsid w:val="00EB40D7"/>
    <w:rsid w:val="00EB730E"/>
    <w:rsid w:val="00EB7FB5"/>
    <w:rsid w:val="00EC08D4"/>
    <w:rsid w:val="00F676DF"/>
    <w:rsid w:val="00F76700"/>
    <w:rsid w:val="00F953F4"/>
    <w:rsid w:val="00FA09EB"/>
    <w:rsid w:val="00FB23A1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EC60B-ED5D-450F-A584-DCB90F7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EE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脚 Char"/>
    <w:basedOn w:val="a0"/>
    <w:link w:val="a3"/>
    <w:uiPriority w:val="99"/>
    <w:rsid w:val="002708EE"/>
    <w:rPr>
      <w:kern w:val="0"/>
      <w:sz w:val="22"/>
    </w:rPr>
  </w:style>
  <w:style w:type="paragraph" w:customStyle="1" w:styleId="MacPacTrailer">
    <w:name w:val="MacPac Trailer"/>
    <w:rsid w:val="002708EE"/>
    <w:pPr>
      <w:widowControl w:val="0"/>
      <w:spacing w:line="170" w:lineRule="exact"/>
    </w:pPr>
    <w:rPr>
      <w:rFonts w:ascii="Times New Roman" w:eastAsia="Times New Roman" w:hAnsi="Times New Roman" w:cs="Times New Roman"/>
      <w:kern w:val="0"/>
      <w:sz w:val="14"/>
      <w:lang w:eastAsia="en-US"/>
    </w:rPr>
  </w:style>
  <w:style w:type="paragraph" w:styleId="a4">
    <w:name w:val="header"/>
    <w:basedOn w:val="a"/>
    <w:link w:val="Char0"/>
    <w:uiPriority w:val="99"/>
    <w:unhideWhenUsed/>
    <w:rsid w:val="00F6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76DF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C8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6C82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D245-C2C5-4391-B556-F7D617610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4D9EF-10E3-4F09-9876-2E10ECDB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Fangda</dc:creator>
  <cp:keywords/>
  <dc:description/>
  <cp:lastModifiedBy>Fangda</cp:lastModifiedBy>
  <cp:revision>1</cp:revision>
  <dcterms:created xsi:type="dcterms:W3CDTF">2021-08-18T04:43:00Z</dcterms:created>
  <dcterms:modified xsi:type="dcterms:W3CDTF">2021-08-18T04:43:00Z</dcterms:modified>
</cp:coreProperties>
</file>