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imes New Roman" w:hAnsi="Times New Roman"/>
          <w:sz w:val="30"/>
          <w:szCs w:val="30"/>
        </w:rPr>
      </w:pPr>
      <w:r>
        <w:rPr>
          <w:rFonts w:ascii="Times New Roman" w:hAnsi="Times New Roman"/>
          <w:sz w:val="30"/>
          <w:szCs w:val="30"/>
        </w:rPr>
        <w:t>经营者集中简易案件公示表</w:t>
      </w:r>
    </w:p>
    <w:p>
      <w:pPr>
        <w:spacing w:line="440" w:lineRule="exact"/>
        <w:rPr>
          <w:rFonts w:ascii="Times New Roman" w:hAnsi="Times New Roman"/>
          <w:sz w:val="28"/>
          <w:szCs w:val="28"/>
        </w:rPr>
      </w:pPr>
    </w:p>
    <w:p>
      <w:pPr>
        <w:spacing w:line="440" w:lineRule="exact"/>
        <w:ind w:firstLine="845" w:firstLineChars="302"/>
        <w:rPr>
          <w:rFonts w:ascii="Times New Roman" w:hAnsi="Times New Roman"/>
          <w:sz w:val="28"/>
          <w:szCs w:val="28"/>
        </w:rPr>
      </w:pPr>
    </w:p>
    <w:tbl>
      <w:tblPr>
        <w:tblStyle w:val="2"/>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796"/>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vAlign w:val="center"/>
          </w:tcPr>
          <w:p>
            <w:pPr>
              <w:spacing w:line="500" w:lineRule="exact"/>
              <w:jc w:val="center"/>
              <w:rPr>
                <w:rFonts w:cs="Calibri"/>
                <w:color w:val="333333"/>
                <w:kern w:val="0"/>
                <w:sz w:val="24"/>
                <w:szCs w:val="24"/>
              </w:rPr>
            </w:pPr>
            <w:r>
              <w:rPr>
                <w:rFonts w:cs="Calibri"/>
                <w:color w:val="333333"/>
                <w:kern w:val="0"/>
                <w:sz w:val="24"/>
                <w:szCs w:val="24"/>
              </w:rPr>
              <w:t>案件名称</w:t>
            </w:r>
          </w:p>
        </w:tc>
        <w:tc>
          <w:tcPr>
            <w:tcW w:w="6949" w:type="dxa"/>
            <w:gridSpan w:val="2"/>
          </w:tcPr>
          <w:p>
            <w:pPr>
              <w:spacing w:line="500" w:lineRule="exact"/>
              <w:rPr>
                <w:rFonts w:cs="Calibri"/>
                <w:color w:val="333333"/>
                <w:kern w:val="0"/>
                <w:sz w:val="24"/>
                <w:szCs w:val="24"/>
              </w:rPr>
            </w:pPr>
            <w:r>
              <w:rPr>
                <w:rFonts w:cs="Calibri"/>
                <w:kern w:val="0"/>
                <w:sz w:val="24"/>
                <w:szCs w:val="24"/>
              </w:rPr>
              <w:t>海南钧达汽车饰件股份有限公司收购上饶捷泰新能源科技有限公司股权案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809" w:type="dxa"/>
            <w:shd w:val="clear" w:color="auto" w:fill="D9D9D9"/>
            <w:vAlign w:val="center"/>
          </w:tcPr>
          <w:p>
            <w:pPr>
              <w:spacing w:line="500" w:lineRule="exact"/>
              <w:jc w:val="center"/>
              <w:rPr>
                <w:rFonts w:cs="Calibri"/>
                <w:color w:val="333333"/>
                <w:kern w:val="0"/>
                <w:sz w:val="24"/>
                <w:szCs w:val="24"/>
              </w:rPr>
            </w:pPr>
            <w:r>
              <w:rPr>
                <w:rFonts w:cs="Calibri"/>
                <w:color w:val="333333"/>
                <w:kern w:val="0"/>
                <w:sz w:val="24"/>
                <w:szCs w:val="24"/>
              </w:rPr>
              <w:t>交易概况</w:t>
            </w:r>
          </w:p>
          <w:p>
            <w:pPr>
              <w:spacing w:line="500" w:lineRule="exact"/>
              <w:jc w:val="center"/>
              <w:rPr>
                <w:rFonts w:cs="Calibri"/>
                <w:color w:val="333333"/>
                <w:kern w:val="0"/>
                <w:sz w:val="24"/>
                <w:szCs w:val="24"/>
              </w:rPr>
            </w:pPr>
            <w:r>
              <w:rPr>
                <w:rFonts w:cs="Calibri"/>
                <w:color w:val="333333"/>
                <w:kern w:val="0"/>
                <w:sz w:val="24"/>
                <w:szCs w:val="24"/>
              </w:rPr>
              <w:t>（限200字内）</w:t>
            </w:r>
          </w:p>
        </w:tc>
        <w:tc>
          <w:tcPr>
            <w:tcW w:w="6949" w:type="dxa"/>
            <w:gridSpan w:val="2"/>
          </w:tcPr>
          <w:p>
            <w:pPr>
              <w:spacing w:line="500" w:lineRule="exact"/>
              <w:rPr>
                <w:rFonts w:cs="Calibri"/>
                <w:color w:val="333333"/>
                <w:kern w:val="0"/>
                <w:sz w:val="24"/>
                <w:szCs w:val="24"/>
              </w:rPr>
            </w:pPr>
            <w:r>
              <w:rPr>
                <w:rFonts w:cs="Calibri"/>
                <w:kern w:val="0"/>
                <w:sz w:val="24"/>
                <w:szCs w:val="24"/>
              </w:rPr>
              <w:t>海南钧达汽车饰件股份有限公司（“</w:t>
            </w:r>
            <w:r>
              <w:rPr>
                <w:rFonts w:cs="Calibri"/>
                <w:sz w:val="24"/>
                <w:szCs w:val="24"/>
              </w:rPr>
              <w:t>钧达股份”）拟收购</w:t>
            </w:r>
            <w:r>
              <w:rPr>
                <w:rFonts w:cs="Calibri"/>
                <w:kern w:val="0"/>
                <w:sz w:val="24"/>
                <w:szCs w:val="24"/>
              </w:rPr>
              <w:t>上饶捷泰新能源科技有限公司（“</w:t>
            </w:r>
            <w:r>
              <w:rPr>
                <w:rFonts w:cs="Calibri"/>
                <w:sz w:val="24"/>
                <w:szCs w:val="24"/>
              </w:rPr>
              <w:t>捷泰科技”）共计51%股权并取得对捷泰科技的</w:t>
            </w:r>
            <w:r>
              <w:rPr>
                <w:rFonts w:hint="eastAsia" w:cs="Calibri"/>
                <w:sz w:val="24"/>
                <w:szCs w:val="24"/>
                <w:lang w:eastAsia="zh-CN"/>
              </w:rPr>
              <w:t>单独</w:t>
            </w:r>
            <w:bookmarkStart w:id="0" w:name="_GoBack"/>
            <w:bookmarkEnd w:id="0"/>
            <w:r>
              <w:rPr>
                <w:rFonts w:cs="Calibri"/>
                <w:sz w:val="24"/>
                <w:szCs w:val="24"/>
              </w:rPr>
              <w:t>控制权。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9" w:type="dxa"/>
            <w:vMerge w:val="restart"/>
            <w:shd w:val="clear" w:color="auto" w:fill="D9D9D9"/>
            <w:vAlign w:val="center"/>
          </w:tcPr>
          <w:p>
            <w:pPr>
              <w:spacing w:line="500" w:lineRule="exact"/>
              <w:jc w:val="center"/>
              <w:rPr>
                <w:rFonts w:cs="Calibri"/>
                <w:color w:val="333333"/>
                <w:kern w:val="0"/>
                <w:sz w:val="24"/>
                <w:szCs w:val="24"/>
              </w:rPr>
            </w:pPr>
            <w:r>
              <w:rPr>
                <w:rFonts w:cs="Calibri"/>
                <w:color w:val="333333"/>
                <w:kern w:val="0"/>
                <w:sz w:val="24"/>
                <w:szCs w:val="24"/>
              </w:rPr>
              <w:t>参与集中的</w:t>
            </w:r>
          </w:p>
          <w:p>
            <w:pPr>
              <w:spacing w:line="500" w:lineRule="exact"/>
              <w:jc w:val="center"/>
              <w:rPr>
                <w:rFonts w:cs="Calibri"/>
                <w:color w:val="333333"/>
                <w:kern w:val="0"/>
                <w:sz w:val="24"/>
                <w:szCs w:val="24"/>
              </w:rPr>
            </w:pPr>
            <w:r>
              <w:rPr>
                <w:rFonts w:cs="Calibri"/>
                <w:color w:val="333333"/>
                <w:kern w:val="0"/>
                <w:sz w:val="24"/>
                <w:szCs w:val="24"/>
              </w:rPr>
              <w:t>经营者简介</w:t>
            </w:r>
          </w:p>
        </w:tc>
        <w:tc>
          <w:tcPr>
            <w:tcW w:w="1796" w:type="dxa"/>
          </w:tcPr>
          <w:p>
            <w:pPr>
              <w:spacing w:line="500" w:lineRule="exact"/>
              <w:rPr>
                <w:rFonts w:cs="Calibri"/>
                <w:color w:val="333333"/>
                <w:kern w:val="0"/>
                <w:sz w:val="24"/>
                <w:szCs w:val="24"/>
              </w:rPr>
            </w:pPr>
            <w:r>
              <w:rPr>
                <w:rFonts w:cs="Calibri"/>
                <w:color w:val="333333"/>
                <w:kern w:val="0"/>
                <w:sz w:val="24"/>
                <w:szCs w:val="24"/>
              </w:rPr>
              <w:t>1、钧达股份</w:t>
            </w:r>
          </w:p>
        </w:tc>
        <w:tc>
          <w:tcPr>
            <w:tcW w:w="5153" w:type="dxa"/>
          </w:tcPr>
          <w:p>
            <w:pPr>
              <w:spacing w:line="500" w:lineRule="exact"/>
              <w:rPr>
                <w:rFonts w:cs="Calibri"/>
                <w:color w:val="333333"/>
                <w:kern w:val="0"/>
                <w:sz w:val="24"/>
                <w:szCs w:val="24"/>
              </w:rPr>
            </w:pPr>
            <w:r>
              <w:rPr>
                <w:rFonts w:cs="Calibri"/>
                <w:color w:val="333333"/>
                <w:kern w:val="0"/>
                <w:sz w:val="24"/>
                <w:szCs w:val="24"/>
              </w:rPr>
              <w:t>钧达股份</w:t>
            </w:r>
            <w:r>
              <w:rPr>
                <w:rFonts w:hint="eastAsia" w:cs="Calibri"/>
                <w:color w:val="333333"/>
                <w:kern w:val="0"/>
                <w:sz w:val="24"/>
                <w:szCs w:val="24"/>
              </w:rPr>
              <w:t>于2</w:t>
            </w:r>
            <w:r>
              <w:rPr>
                <w:rFonts w:cs="Calibri"/>
                <w:color w:val="333333"/>
                <w:kern w:val="0"/>
                <w:sz w:val="24"/>
                <w:szCs w:val="24"/>
              </w:rPr>
              <w:t>003</w:t>
            </w:r>
            <w:r>
              <w:rPr>
                <w:rFonts w:hint="eastAsia" w:cs="Calibri"/>
                <w:color w:val="333333"/>
                <w:kern w:val="0"/>
                <w:sz w:val="24"/>
                <w:szCs w:val="24"/>
              </w:rPr>
              <w:t>年在海南省成立，后于2</w:t>
            </w:r>
            <w:r>
              <w:rPr>
                <w:rFonts w:cs="Calibri"/>
                <w:color w:val="333333"/>
                <w:kern w:val="0"/>
                <w:sz w:val="24"/>
                <w:szCs w:val="24"/>
              </w:rPr>
              <w:t>017</w:t>
            </w:r>
            <w:r>
              <w:rPr>
                <w:rFonts w:hint="eastAsia" w:cs="Calibri"/>
                <w:color w:val="333333"/>
                <w:kern w:val="0"/>
                <w:sz w:val="24"/>
                <w:szCs w:val="24"/>
              </w:rPr>
              <w:t>年在深交所上市</w:t>
            </w:r>
            <w:r>
              <w:rPr>
                <w:rFonts w:cs="Calibri"/>
                <w:color w:val="333333"/>
                <w:kern w:val="0"/>
                <w:sz w:val="24"/>
                <w:szCs w:val="24"/>
              </w:rPr>
              <w:t>（股票代码为002865），最终控制人为杨氏家族，主要业务为汽车塑料内外饰件的研发、生产、销售，业务涵盖汽车仪表板、保险杠、门护板、配集成等。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09" w:type="dxa"/>
            <w:vMerge w:val="continue"/>
            <w:shd w:val="clear" w:color="auto" w:fill="D9D9D9"/>
            <w:vAlign w:val="center"/>
          </w:tcPr>
          <w:p>
            <w:pPr>
              <w:spacing w:line="500" w:lineRule="exact"/>
              <w:jc w:val="center"/>
              <w:rPr>
                <w:rFonts w:cs="Calibri"/>
                <w:color w:val="333333"/>
                <w:kern w:val="0"/>
                <w:sz w:val="24"/>
                <w:szCs w:val="24"/>
              </w:rPr>
            </w:pPr>
          </w:p>
        </w:tc>
        <w:tc>
          <w:tcPr>
            <w:tcW w:w="1796" w:type="dxa"/>
          </w:tcPr>
          <w:p>
            <w:pPr>
              <w:spacing w:line="500" w:lineRule="exact"/>
              <w:rPr>
                <w:rFonts w:cs="Calibri"/>
                <w:color w:val="333333"/>
                <w:kern w:val="0"/>
                <w:sz w:val="24"/>
                <w:szCs w:val="24"/>
              </w:rPr>
            </w:pPr>
            <w:r>
              <w:rPr>
                <w:rFonts w:cs="Calibri"/>
                <w:color w:val="333333"/>
                <w:kern w:val="0"/>
                <w:sz w:val="24"/>
                <w:szCs w:val="24"/>
              </w:rPr>
              <w:t>2、捷泰科技</w:t>
            </w:r>
          </w:p>
        </w:tc>
        <w:tc>
          <w:tcPr>
            <w:tcW w:w="5153" w:type="dxa"/>
          </w:tcPr>
          <w:p>
            <w:pPr>
              <w:spacing w:line="500" w:lineRule="exact"/>
              <w:rPr>
                <w:rFonts w:cs="Calibri"/>
                <w:color w:val="333333"/>
                <w:kern w:val="0"/>
                <w:sz w:val="24"/>
                <w:szCs w:val="24"/>
              </w:rPr>
            </w:pPr>
            <w:r>
              <w:rPr>
                <w:rFonts w:cs="Calibri"/>
                <w:color w:val="333333"/>
                <w:kern w:val="0"/>
                <w:sz w:val="24"/>
                <w:szCs w:val="24"/>
              </w:rPr>
              <w:t>捷泰科技是一家有限责任公司，</w:t>
            </w:r>
            <w:r>
              <w:rPr>
                <w:rFonts w:hint="eastAsia" w:cs="Calibri"/>
                <w:color w:val="333333"/>
                <w:kern w:val="0"/>
                <w:sz w:val="24"/>
                <w:szCs w:val="24"/>
              </w:rPr>
              <w:t>于2</w:t>
            </w:r>
            <w:r>
              <w:rPr>
                <w:rFonts w:cs="Calibri"/>
                <w:color w:val="333333"/>
                <w:kern w:val="0"/>
                <w:sz w:val="24"/>
                <w:szCs w:val="24"/>
              </w:rPr>
              <w:t>019</w:t>
            </w:r>
            <w:r>
              <w:rPr>
                <w:rFonts w:hint="eastAsia" w:cs="Calibri"/>
                <w:color w:val="333333"/>
                <w:kern w:val="0"/>
                <w:sz w:val="24"/>
                <w:szCs w:val="24"/>
              </w:rPr>
              <w:t>年在江西省成立。</w:t>
            </w:r>
            <w:r>
              <w:rPr>
                <w:rFonts w:cs="Calibri"/>
                <w:color w:val="333333"/>
                <w:kern w:val="0"/>
                <w:sz w:val="24"/>
                <w:szCs w:val="24"/>
              </w:rPr>
              <w:t>本次交易前</w:t>
            </w:r>
            <w:r>
              <w:rPr>
                <w:rFonts w:hint="eastAsia" w:cs="Calibri"/>
                <w:color w:val="333333"/>
                <w:kern w:val="0"/>
                <w:sz w:val="24"/>
                <w:szCs w:val="24"/>
              </w:rPr>
              <w:t>由上饶经济技术开发区管理委员会下属上饶经济技术开发区招商局集团有限公司最终控制</w:t>
            </w:r>
            <w:r>
              <w:rPr>
                <w:rFonts w:cs="Calibri"/>
                <w:color w:val="333333"/>
                <w:kern w:val="0"/>
                <w:sz w:val="24"/>
                <w:szCs w:val="24"/>
              </w:rPr>
              <w:t>，主要业务为晶体硅太阳能电池的研发、生产、销售。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09" w:type="dxa"/>
            <w:vMerge w:val="restart"/>
            <w:shd w:val="clear" w:color="auto" w:fill="D9D9D9"/>
            <w:vAlign w:val="center"/>
          </w:tcPr>
          <w:p>
            <w:pPr>
              <w:spacing w:line="500" w:lineRule="exact"/>
              <w:jc w:val="center"/>
              <w:rPr>
                <w:rFonts w:cs="Calibri"/>
                <w:color w:val="333333"/>
                <w:kern w:val="0"/>
                <w:sz w:val="24"/>
                <w:szCs w:val="24"/>
              </w:rPr>
            </w:pPr>
            <w:r>
              <w:rPr>
                <w:rFonts w:cs="Calibri"/>
                <w:color w:val="333333"/>
                <w:kern w:val="0"/>
                <w:sz w:val="24"/>
                <w:szCs w:val="24"/>
              </w:rPr>
              <w:t>简易案件理由（可以单选，也可以多选）</w:t>
            </w:r>
          </w:p>
        </w:tc>
        <w:tc>
          <w:tcPr>
            <w:tcW w:w="6949" w:type="dxa"/>
            <w:gridSpan w:val="2"/>
          </w:tcPr>
          <w:p>
            <w:pPr>
              <w:spacing w:line="500" w:lineRule="exact"/>
              <w:rPr>
                <w:rFonts w:cs="Calibri"/>
                <w:color w:val="333333"/>
                <w:kern w:val="0"/>
                <w:sz w:val="24"/>
                <w:szCs w:val="24"/>
              </w:rPr>
            </w:pPr>
            <w:r>
              <w:rPr>
                <w:rFonts w:cs="Calibri"/>
                <w:color w:val="333333"/>
                <w:kern w:val="0"/>
                <w:sz w:val="24"/>
                <w:szCs w:val="24"/>
              </w:rPr>
              <w:t>□1.在同一相关市场，所有参与集中的经营者所占市场份额之和小于15%。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9" w:type="dxa"/>
            <w:vMerge w:val="continue"/>
            <w:shd w:val="clear" w:color="auto" w:fill="D9D9D9"/>
            <w:vAlign w:val="center"/>
          </w:tcPr>
          <w:p>
            <w:pPr>
              <w:spacing w:line="500" w:lineRule="exact"/>
              <w:jc w:val="center"/>
              <w:rPr>
                <w:rFonts w:cs="Calibri"/>
                <w:color w:val="333333"/>
                <w:kern w:val="0"/>
                <w:sz w:val="24"/>
                <w:szCs w:val="24"/>
              </w:rPr>
            </w:pPr>
          </w:p>
        </w:tc>
        <w:tc>
          <w:tcPr>
            <w:tcW w:w="6949" w:type="dxa"/>
            <w:gridSpan w:val="2"/>
          </w:tcPr>
          <w:p>
            <w:pPr>
              <w:spacing w:line="500" w:lineRule="exact"/>
              <w:rPr>
                <w:rFonts w:cs="Calibri"/>
                <w:color w:val="333333"/>
                <w:kern w:val="0"/>
                <w:sz w:val="24"/>
                <w:szCs w:val="24"/>
              </w:rPr>
            </w:pPr>
            <w:r>
              <w:rPr>
                <w:rFonts w:cs="Calibri"/>
                <w:color w:val="333333"/>
                <w:kern w:val="0"/>
                <w:sz w:val="24"/>
                <w:szCs w:val="24"/>
              </w:rPr>
              <w:t>□2.存在上下游关系的参与集中的经营者，在上下游市场所占的市场份额均小于25%。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09" w:type="dxa"/>
            <w:vMerge w:val="continue"/>
            <w:shd w:val="clear" w:color="auto" w:fill="D9D9D9"/>
            <w:vAlign w:val="center"/>
          </w:tcPr>
          <w:p>
            <w:pPr>
              <w:spacing w:line="500" w:lineRule="exact"/>
              <w:jc w:val="center"/>
              <w:rPr>
                <w:rFonts w:cs="Calibri"/>
                <w:color w:val="333333"/>
                <w:kern w:val="0"/>
                <w:sz w:val="24"/>
                <w:szCs w:val="24"/>
              </w:rPr>
            </w:pPr>
          </w:p>
        </w:tc>
        <w:tc>
          <w:tcPr>
            <w:tcW w:w="6949" w:type="dxa"/>
            <w:gridSpan w:val="2"/>
          </w:tcPr>
          <w:p>
            <w:pPr>
              <w:spacing w:line="500" w:lineRule="exact"/>
              <w:rPr>
                <w:rFonts w:cs="Calibri"/>
                <w:b/>
                <w:bCs/>
                <w:color w:val="333333"/>
                <w:kern w:val="0"/>
                <w:sz w:val="24"/>
                <w:szCs w:val="24"/>
              </w:rPr>
            </w:pPr>
            <w:r>
              <w:rPr>
                <w:rFonts w:cs="Calibri"/>
                <w:b/>
                <w:bCs/>
                <w:color w:val="333333"/>
                <w:kern w:val="0"/>
                <w:sz w:val="24"/>
                <w:szCs w:val="24"/>
              </w:rPr>
              <w:sym w:font="Wingdings 2" w:char="0052"/>
            </w:r>
            <w:r>
              <w:rPr>
                <w:rFonts w:cs="Calibri"/>
                <w:b/>
                <w:bCs/>
                <w:color w:val="333333"/>
                <w:kern w:val="0"/>
                <w:sz w:val="24"/>
                <w:szCs w:val="24"/>
              </w:rPr>
              <w:t>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809" w:type="dxa"/>
            <w:vMerge w:val="continue"/>
            <w:shd w:val="clear" w:color="auto" w:fill="D9D9D9"/>
            <w:vAlign w:val="center"/>
          </w:tcPr>
          <w:p>
            <w:pPr>
              <w:spacing w:line="500" w:lineRule="exact"/>
              <w:jc w:val="center"/>
              <w:rPr>
                <w:rFonts w:cs="Calibri"/>
                <w:color w:val="333333"/>
                <w:kern w:val="0"/>
                <w:sz w:val="24"/>
                <w:szCs w:val="24"/>
              </w:rPr>
            </w:pPr>
          </w:p>
        </w:tc>
        <w:tc>
          <w:tcPr>
            <w:tcW w:w="6949" w:type="dxa"/>
            <w:gridSpan w:val="2"/>
          </w:tcPr>
          <w:p>
            <w:pPr>
              <w:spacing w:line="500" w:lineRule="exact"/>
              <w:rPr>
                <w:rFonts w:cs="Calibri"/>
                <w:color w:val="333333"/>
                <w:kern w:val="0"/>
                <w:sz w:val="24"/>
                <w:szCs w:val="24"/>
              </w:rPr>
            </w:pPr>
            <w:r>
              <w:rPr>
                <w:rFonts w:cs="Calibri"/>
                <w:color w:val="333333"/>
                <w:kern w:val="0"/>
                <w:sz w:val="24"/>
                <w:szCs w:val="24"/>
              </w:rPr>
              <w:t>□4.参与集中的经营者在中国境外设立合营企业，合营企业不在中国境内从事经济活动。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09" w:type="dxa"/>
            <w:vMerge w:val="continue"/>
            <w:shd w:val="clear" w:color="auto" w:fill="D9D9D9"/>
            <w:vAlign w:val="center"/>
          </w:tcPr>
          <w:p>
            <w:pPr>
              <w:spacing w:line="500" w:lineRule="exact"/>
              <w:jc w:val="center"/>
              <w:rPr>
                <w:rFonts w:cs="Calibri"/>
                <w:color w:val="333333"/>
                <w:kern w:val="0"/>
                <w:sz w:val="24"/>
                <w:szCs w:val="24"/>
              </w:rPr>
            </w:pPr>
          </w:p>
        </w:tc>
        <w:tc>
          <w:tcPr>
            <w:tcW w:w="6949" w:type="dxa"/>
            <w:gridSpan w:val="2"/>
          </w:tcPr>
          <w:p>
            <w:pPr>
              <w:spacing w:line="500" w:lineRule="exact"/>
              <w:rPr>
                <w:rFonts w:cs="Calibri"/>
                <w:color w:val="333333"/>
                <w:kern w:val="0"/>
                <w:sz w:val="24"/>
                <w:szCs w:val="24"/>
              </w:rPr>
            </w:pPr>
            <w:r>
              <w:rPr>
                <w:rFonts w:cs="Calibri"/>
                <w:color w:val="333333"/>
                <w:kern w:val="0"/>
                <w:sz w:val="24"/>
                <w:szCs w:val="24"/>
              </w:rPr>
              <w:t>□5.参与集中的经营者收购境外企业股权或资产的，该境外企业不在中国境内从事经济活动。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09" w:type="dxa"/>
            <w:vMerge w:val="continue"/>
            <w:shd w:val="clear" w:color="auto" w:fill="D9D9D9"/>
            <w:vAlign w:val="center"/>
          </w:tcPr>
          <w:p>
            <w:pPr>
              <w:spacing w:line="500" w:lineRule="exact"/>
              <w:jc w:val="center"/>
              <w:rPr>
                <w:rFonts w:cs="Calibri"/>
                <w:color w:val="333333"/>
                <w:kern w:val="0"/>
                <w:sz w:val="24"/>
                <w:szCs w:val="24"/>
              </w:rPr>
            </w:pPr>
          </w:p>
        </w:tc>
        <w:tc>
          <w:tcPr>
            <w:tcW w:w="6949" w:type="dxa"/>
            <w:gridSpan w:val="2"/>
          </w:tcPr>
          <w:p>
            <w:pPr>
              <w:spacing w:line="500" w:lineRule="exact"/>
              <w:rPr>
                <w:rFonts w:cs="Calibri"/>
                <w:color w:val="333333"/>
                <w:kern w:val="0"/>
                <w:sz w:val="24"/>
                <w:szCs w:val="24"/>
              </w:rPr>
            </w:pPr>
            <w:r>
              <w:rPr>
                <w:rFonts w:cs="Calibri"/>
                <w:color w:val="333333"/>
                <w:kern w:val="0"/>
                <w:sz w:val="24"/>
                <w:szCs w:val="24"/>
              </w:rPr>
              <w:t>□6.由两个以上的经营者共同控制的合营企业，通过集中被其中一个或一个以上经营者控制。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vAlign w:val="center"/>
          </w:tcPr>
          <w:p>
            <w:pPr>
              <w:spacing w:line="500" w:lineRule="exact"/>
              <w:jc w:val="center"/>
              <w:rPr>
                <w:rFonts w:cs="Calibri"/>
                <w:color w:val="333333"/>
                <w:kern w:val="0"/>
                <w:sz w:val="24"/>
                <w:szCs w:val="24"/>
              </w:rPr>
            </w:pPr>
            <w:r>
              <w:rPr>
                <w:rFonts w:cs="Calibri"/>
                <w:color w:val="333333"/>
                <w:kern w:val="0"/>
                <w:sz w:val="24"/>
                <w:szCs w:val="24"/>
              </w:rPr>
              <w:t>备注</w:t>
            </w:r>
          </w:p>
        </w:tc>
        <w:tc>
          <w:tcPr>
            <w:tcW w:w="6949" w:type="dxa"/>
            <w:gridSpan w:val="2"/>
          </w:tcPr>
          <w:p>
            <w:pPr>
              <w:spacing w:line="500" w:lineRule="exact"/>
              <w:rPr>
                <w:rFonts w:cs="Calibri"/>
                <w:color w:val="333333"/>
                <w:kern w:val="0"/>
                <w:sz w:val="24"/>
                <w:szCs w:val="24"/>
              </w:rPr>
            </w:pPr>
            <w:r>
              <w:rPr>
                <w:rFonts w:cs="Calibri"/>
                <w:color w:val="333333"/>
                <w:kern w:val="0"/>
                <w:sz w:val="24"/>
                <w:szCs w:val="24"/>
              </w:rPr>
              <w:t>相关产品市场：晶体硅太阳能电池市场</w:t>
            </w:r>
          </w:p>
          <w:p>
            <w:pPr>
              <w:spacing w:line="500" w:lineRule="exact"/>
              <w:rPr>
                <w:rFonts w:cs="Calibri"/>
                <w:color w:val="333333"/>
                <w:kern w:val="0"/>
                <w:sz w:val="24"/>
                <w:szCs w:val="24"/>
              </w:rPr>
            </w:pPr>
            <w:r>
              <w:rPr>
                <w:rFonts w:cs="Calibri"/>
                <w:color w:val="333333"/>
                <w:kern w:val="0"/>
                <w:sz w:val="24"/>
                <w:szCs w:val="24"/>
              </w:rPr>
              <w:t>相关地域市场：全球市场</w:t>
            </w:r>
          </w:p>
          <w:p>
            <w:pPr>
              <w:spacing w:line="500" w:lineRule="exact"/>
              <w:rPr>
                <w:rFonts w:cs="Calibri"/>
                <w:color w:val="333333"/>
                <w:kern w:val="0"/>
                <w:sz w:val="24"/>
                <w:szCs w:val="24"/>
              </w:rPr>
            </w:pPr>
            <w:r>
              <w:rPr>
                <w:rFonts w:cs="Calibri"/>
                <w:color w:val="333333"/>
                <w:kern w:val="0"/>
                <w:sz w:val="24"/>
                <w:szCs w:val="24"/>
              </w:rPr>
              <w:t>市场份额：</w:t>
            </w:r>
          </w:p>
          <w:p>
            <w:pPr>
              <w:spacing w:line="500" w:lineRule="exact"/>
              <w:rPr>
                <w:rFonts w:cs="Calibri"/>
                <w:color w:val="333333"/>
                <w:kern w:val="0"/>
                <w:sz w:val="24"/>
                <w:szCs w:val="24"/>
              </w:rPr>
            </w:pPr>
            <w:r>
              <w:rPr>
                <w:rFonts w:cs="Calibri"/>
                <w:color w:val="333333"/>
                <w:kern w:val="0"/>
                <w:sz w:val="24"/>
                <w:szCs w:val="24"/>
              </w:rPr>
              <w:t>捷泰科技[0%-5%]</w:t>
            </w:r>
          </w:p>
          <w:p>
            <w:pPr>
              <w:spacing w:line="500" w:lineRule="exact"/>
              <w:rPr>
                <w:rFonts w:cs="Calibri"/>
                <w:color w:val="333333"/>
                <w:kern w:val="0"/>
                <w:sz w:val="24"/>
                <w:szCs w:val="24"/>
              </w:rPr>
            </w:pPr>
            <w:r>
              <w:rPr>
                <w:rFonts w:cs="Calibri"/>
                <w:color w:val="333333"/>
                <w:kern w:val="0"/>
                <w:sz w:val="24"/>
                <w:szCs w:val="24"/>
              </w:rPr>
              <w:t>钧达股份0%</w:t>
            </w:r>
          </w:p>
          <w:p>
            <w:pPr>
              <w:spacing w:line="500" w:lineRule="exact"/>
              <w:rPr>
                <w:rFonts w:cs="Calibri"/>
                <w:color w:val="333333"/>
                <w:kern w:val="0"/>
                <w:sz w:val="24"/>
                <w:szCs w:val="24"/>
              </w:rPr>
            </w:pPr>
            <w:r>
              <w:rPr>
                <w:rFonts w:cs="Calibri"/>
                <w:color w:val="333333"/>
                <w:kern w:val="0"/>
                <w:sz w:val="24"/>
                <w:szCs w:val="24"/>
              </w:rPr>
              <w:t>合计[0%-5%]</w:t>
            </w:r>
          </w:p>
        </w:tc>
      </w:tr>
    </w:tbl>
    <w:p>
      <w:pPr>
        <w:snapToGrid w:val="0"/>
        <w:spacing w:line="240" w:lineRule="exact"/>
        <w:jc w:val="left"/>
        <w:rPr>
          <w:rFonts w:ascii="Times New Roman" w:hAnsi="Times New Roman"/>
          <w:sz w:val="24"/>
          <w:szCs w:val="24"/>
        </w:rPr>
      </w:pPr>
    </w:p>
    <w:p>
      <w:pPr>
        <w:snapToGrid w:val="0"/>
        <w:spacing w:line="240" w:lineRule="exact"/>
        <w:jc w:val="left"/>
        <w:rPr>
          <w:rFonts w:ascii="Times New Roman" w:hAnsi="Times New Roman"/>
          <w:sz w:val="24"/>
          <w:szCs w:val="24"/>
        </w:rPr>
      </w:pPr>
      <w:r>
        <w:rPr>
          <w:rFonts w:ascii="Times New Roman" w:hAnsi="Times New Roman"/>
          <w:sz w:val="24"/>
          <w:szCs w:val="24"/>
        </w:rPr>
        <w:t>注解：</w:t>
      </w:r>
    </w:p>
    <w:p>
      <w:pPr>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1.申报方申请简易案件的理由是基于1-3项时，须在备注中说明界定的相关商品市场和相关地域市场（无须阐述界定理由），以及相关市场份额；市场份额可以区间形式提供，区间幅度不应超过5%。1-3项可以多选，也可单选；没有勾选的，视为本集中不涉及该类型交易。</w:t>
      </w:r>
    </w:p>
    <w:p>
      <w:pPr>
        <w:spacing w:line="360" w:lineRule="auto"/>
        <w:ind w:firstLine="480" w:firstLineChars="200"/>
        <w:rPr>
          <w:rFonts w:ascii="Times New Roman" w:hAnsi="Times New Roman"/>
          <w:sz w:val="28"/>
          <w:szCs w:val="28"/>
        </w:rPr>
      </w:pPr>
      <w:r>
        <w:rPr>
          <w:rFonts w:ascii="Times New Roman" w:hAnsi="Times New Roman"/>
          <w:sz w:val="24"/>
          <w:szCs w:val="24"/>
        </w:rPr>
        <w:t>2.申报方申请简易案件的理由是基于第4项、第5项时，无须在备注中说明相关市场和市场份额。</w:t>
      </w:r>
      <w:r>
        <w:rPr>
          <w:rFonts w:ascii="Times New Roman" w:hAnsi="Times New Roman"/>
          <w:sz w:val="24"/>
          <w:szCs w:val="24"/>
        </w:rPr>
        <w:br w:type="textWrapping"/>
      </w:r>
      <w:r>
        <w:rPr>
          <w:rFonts w:ascii="Times New Roman" w:hAnsi="Times New Roman"/>
          <w:sz w:val="24"/>
          <w:szCs w:val="24"/>
        </w:rPr>
        <w:t xml:space="preserve">    3.由两个或两个以上经营者共同控制的合营企业，通过集中被其中的一个经营者控制，如果该经营者与合营企业属于同一相关市场的竞争者，则申报方在申请简易案件时，须同时勾选第1项和第6项理由，并在备注中说明界定的相关商品市场和相关地域市场（无须阐述界定理由），以及相关市场份额。市场份额可以区间形式提供，区间幅度不应超过5%。</w:t>
      </w:r>
    </w:p>
    <w:p>
      <w:pPr>
        <w:rPr>
          <w:rFonts w:ascii="Times New Roman" w:hAnsi="Times New Roman"/>
        </w:rPr>
      </w:pPr>
    </w:p>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00DF"/>
    <w:rsid w:val="00037065"/>
    <w:rsid w:val="000D7EBA"/>
    <w:rsid w:val="001164CD"/>
    <w:rsid w:val="00155717"/>
    <w:rsid w:val="001837A3"/>
    <w:rsid w:val="0037537E"/>
    <w:rsid w:val="003C0AEB"/>
    <w:rsid w:val="004F7688"/>
    <w:rsid w:val="005F4B6A"/>
    <w:rsid w:val="006467D8"/>
    <w:rsid w:val="006A531B"/>
    <w:rsid w:val="006F7693"/>
    <w:rsid w:val="00710140"/>
    <w:rsid w:val="007F2275"/>
    <w:rsid w:val="00814717"/>
    <w:rsid w:val="00915F0F"/>
    <w:rsid w:val="009532DF"/>
    <w:rsid w:val="00997019"/>
    <w:rsid w:val="009A5029"/>
    <w:rsid w:val="009D38D5"/>
    <w:rsid w:val="00A53F26"/>
    <w:rsid w:val="00A56C19"/>
    <w:rsid w:val="00AA0CC5"/>
    <w:rsid w:val="00B16AFE"/>
    <w:rsid w:val="00B65DD5"/>
    <w:rsid w:val="00BD10B6"/>
    <w:rsid w:val="00C07076"/>
    <w:rsid w:val="00CB00DF"/>
    <w:rsid w:val="00D73C72"/>
    <w:rsid w:val="00D90D1B"/>
    <w:rsid w:val="00E0592B"/>
    <w:rsid w:val="00E31738"/>
    <w:rsid w:val="00E86786"/>
    <w:rsid w:val="00ED2F80"/>
    <w:rsid w:val="00F1624E"/>
    <w:rsid w:val="00F32F8A"/>
    <w:rsid w:val="00F810AA"/>
    <w:rsid w:val="00FB43EC"/>
    <w:rsid w:val="00FB6B40"/>
    <w:rsid w:val="16653E88"/>
    <w:rsid w:val="31BC07CC"/>
    <w:rsid w:val="447665DB"/>
    <w:rsid w:val="4FCA632F"/>
    <w:rsid w:val="542109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158</Words>
  <Characters>905</Characters>
  <Lines>7</Lines>
  <Paragraphs>2</Paragraphs>
  <TotalTime>5</TotalTime>
  <ScaleCrop>false</ScaleCrop>
  <LinksUpToDate>false</LinksUpToDate>
  <CharactersWithSpaces>1061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2018-09-29T02:33:00Z</dcterms:created>
  <dc:creator>陈媚</dc:creator>
  <cp:lastModifiedBy>TY</cp:lastModifiedBy>
  <dcterms:modified xsi:type="dcterms:W3CDTF">2021-08-06T08:23:07Z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10CAA1BE172248448BD195A09B2EE02C</vt:lpwstr>
  </property>
</Properties>
</file>