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36</w:t>
      </w:r>
      <w:r>
        <w:rPr>
          <w:rFonts w:hint="eastAsia" w:eastAsia="仿宋_GB2312"/>
          <w:kern w:val="2"/>
          <w:sz w:val="32"/>
          <w:szCs w:val="32"/>
        </w:rPr>
        <w:t>号</w:t>
      </w:r>
    </w:p>
    <w:p>
      <w:pPr>
        <w:keepNext w:val="0"/>
        <w:keepLines w:val="0"/>
        <w:pageBreakBefore w:val="0"/>
        <w:widowControl w:val="0"/>
        <w:kinsoku/>
        <w:wordWrap/>
        <w:topLinePunct w:val="0"/>
        <w:bidi w:val="0"/>
        <w:spacing w:line="57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当事人：</w:t>
      </w:r>
      <w:r>
        <w:rPr>
          <w:rFonts w:hint="eastAsia" w:eastAsia="仿宋_GB2312"/>
          <w:kern w:val="2"/>
          <w:sz w:val="32"/>
          <w:szCs w:val="32"/>
        </w:rPr>
        <w:t>滴滴智慧交通科技有限公司</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住  所：</w:t>
      </w:r>
      <w:r>
        <w:rPr>
          <w:rFonts w:hint="eastAsia" w:eastAsia="仿宋_GB2312"/>
          <w:kern w:val="2"/>
          <w:sz w:val="32"/>
          <w:szCs w:val="32"/>
        </w:rPr>
        <w:t>北京市海淀区东北旺西路8号院35号楼三层301号</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当事人：</w:t>
      </w:r>
      <w:r>
        <w:rPr>
          <w:rFonts w:hint="eastAsia" w:eastAsia="仿宋_GB2312"/>
          <w:kern w:val="2"/>
          <w:sz w:val="32"/>
          <w:szCs w:val="32"/>
        </w:rPr>
        <w:t>济南浪潮智投智能科技有限公司</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21"/>
          <w:szCs w:val="21"/>
        </w:rPr>
      </w:pPr>
      <w:r>
        <w:rPr>
          <w:rFonts w:hint="eastAsia" w:ascii="黑体" w:hAnsi="黑体" w:eastAsia="黑体" w:cs="黑体"/>
          <w:kern w:val="2"/>
          <w:sz w:val="32"/>
          <w:szCs w:val="32"/>
        </w:rPr>
        <w:t>住  所：</w:t>
      </w:r>
      <w:r>
        <w:rPr>
          <w:rFonts w:hint="eastAsia" w:eastAsia="仿宋_GB2312"/>
          <w:kern w:val="2"/>
          <w:sz w:val="32"/>
          <w:szCs w:val="32"/>
        </w:rPr>
        <w:t>山东省济南市高新区浪潮路1036号S06楼南一层</w:t>
      </w:r>
    </w:p>
    <w:p>
      <w:pPr>
        <w:pStyle w:val="2"/>
        <w:keepNext w:val="0"/>
        <w:keepLines w:val="0"/>
        <w:pageBreakBefore w:val="0"/>
        <w:widowControl w:val="0"/>
        <w:kinsoku/>
        <w:wordWrap/>
        <w:topLinePunct w:val="0"/>
        <w:bidi w:val="0"/>
        <w:spacing w:line="574" w:lineRule="exact"/>
        <w:textAlignment w:val="auto"/>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eastAsia" w:eastAsia="仿宋_GB2312" w:cs="Times New Roman"/>
          <w:sz w:val="32"/>
          <w:szCs w:val="32"/>
          <w:lang w:eastAsia="zh-CN"/>
        </w:rPr>
        <w:t>、</w:t>
      </w:r>
      <w:r>
        <w:rPr>
          <w:rFonts w:hint="eastAsia" w:ascii="Times New Roman" w:hAnsi="Times New Roman" w:eastAsia="仿宋_GB2312" w:cs="Times New Roman"/>
          <w:kern w:val="2"/>
          <w:sz w:val="32"/>
          <w:szCs w:val="32"/>
          <w:lang w:eastAsia="zh-CN"/>
        </w:rPr>
        <w:t>《经营者集中审查暂行规定》</w:t>
      </w:r>
      <w:r>
        <w:rPr>
          <w:rFonts w:hint="eastAsia" w:eastAsia="仿宋_GB2312"/>
          <w:kern w:val="2"/>
          <w:sz w:val="32"/>
          <w:szCs w:val="32"/>
        </w:rPr>
        <w:t>，本机关于</w:t>
      </w:r>
      <w:r>
        <w:rPr>
          <w:rFonts w:hint="eastAsia"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3</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11</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对滴滴智慧交通科技有限公司（以下简称滴滴智慧交通）与济南浪潮智投智能科技有限公司（以下简称浪潮智投）设立合营企业涉嫌违法实施经营者集中案</w:t>
      </w:r>
      <w:r>
        <w:rPr>
          <w:rFonts w:hint="eastAsia" w:eastAsia="仿宋_GB2312"/>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eastAsia" w:eastAsia="仿宋_GB2312"/>
          <w:kern w:val="2"/>
          <w:sz w:val="32"/>
          <w:szCs w:val="32"/>
        </w:rPr>
        <w:t>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的规定，向滴滴智慧交通</w:t>
      </w:r>
      <w:r>
        <w:rPr>
          <w:rFonts w:hint="eastAsia" w:eastAsia="仿宋_GB2312"/>
          <w:kern w:val="2"/>
          <w:sz w:val="32"/>
          <w:szCs w:val="32"/>
          <w:lang w:eastAsia="zh-CN"/>
        </w:rPr>
        <w:t>、浪潮智投</w:t>
      </w:r>
      <w:r>
        <w:rPr>
          <w:rFonts w:hint="eastAsia" w:eastAsia="仿宋_GB2312"/>
          <w:kern w:val="2"/>
          <w:sz w:val="32"/>
          <w:szCs w:val="32"/>
        </w:rPr>
        <w:t>送达了《行政处罚告知书》，告知其拟作出行政处罚决定的事实、理由、证据、处罚内容，以及其依法享有的陈述权、申辩权和要求听证权。滴滴智慧交通、浪潮智投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（一）交易方。</w:t>
      </w:r>
    </w:p>
    <w:p>
      <w:pPr>
        <w:pStyle w:val="7"/>
        <w:keepNext w:val="0"/>
        <w:keepLines w:val="0"/>
        <w:pageBreakBefore w:val="0"/>
        <w:widowControl w:val="0"/>
        <w:kinsoku/>
        <w:wordWrap/>
        <w:topLinePunct w:val="0"/>
        <w:bidi w:val="0"/>
        <w:spacing w:line="574" w:lineRule="exact"/>
        <w:ind w:firstLine="643"/>
        <w:textAlignment w:val="auto"/>
        <w:rPr>
          <w:rFonts w:ascii="Times New Roman" w:hAnsi="Times New Roman"/>
          <w:bCs/>
          <w:u w:val="none"/>
        </w:rPr>
      </w:pPr>
      <w:r>
        <w:rPr>
          <w:rFonts w:ascii="Times New Roman" w:hAnsi="Times New Roman"/>
          <w:b/>
        </w:rPr>
        <w:t>合营方一：</w:t>
      </w:r>
      <w:r>
        <w:rPr>
          <w:rFonts w:ascii="Times New Roman" w:hAnsi="Times New Roman"/>
          <w:b/>
          <w:bCs w:val="0"/>
        </w:rPr>
        <w:t>滴滴</w:t>
      </w:r>
      <w:r>
        <w:rPr>
          <w:rFonts w:hint="eastAsia" w:ascii="Times New Roman" w:hAnsi="Times New Roman"/>
          <w:b/>
          <w:bCs w:val="0"/>
        </w:rPr>
        <w:t>智慧交通</w:t>
      </w:r>
      <w:r>
        <w:rPr>
          <w:rFonts w:ascii="Times New Roman" w:hAnsi="Times New Roman"/>
          <w:b/>
        </w:rPr>
        <w:t>。</w:t>
      </w:r>
      <w:r>
        <w:rPr>
          <w:rFonts w:ascii="Times New Roman" w:hAnsi="Times New Roman"/>
          <w:bCs/>
          <w:u w:val="none"/>
        </w:rPr>
        <w:t>2018年于</w:t>
      </w:r>
      <w:r>
        <w:rPr>
          <w:rFonts w:hint="eastAsia" w:ascii="Times New Roman" w:hAnsi="Times New Roman"/>
          <w:bCs/>
          <w:u w:val="none"/>
          <w:lang w:eastAsia="zh-CN"/>
        </w:rPr>
        <w:t>北京市</w:t>
      </w:r>
      <w:r>
        <w:rPr>
          <w:rFonts w:ascii="Times New Roman" w:hAnsi="Times New Roman"/>
          <w:bCs/>
          <w:u w:val="none"/>
        </w:rPr>
        <w:t>注册成立，</w:t>
      </w:r>
      <w:r>
        <w:rPr>
          <w:rFonts w:hint="eastAsia" w:ascii="Times New Roman" w:hAnsi="Times New Roman"/>
          <w:bCs/>
          <w:u w:val="none"/>
        </w:rPr>
        <w:t>是北京小桔科技有限公司的全资子公司，</w:t>
      </w:r>
      <w:r>
        <w:rPr>
          <w:rFonts w:ascii="Times New Roman" w:hAnsi="Times New Roman"/>
          <w:bCs/>
          <w:u w:val="none"/>
        </w:rPr>
        <w:t>主要从事交通大数据分析</w:t>
      </w:r>
      <w:r>
        <w:rPr>
          <w:rFonts w:hint="eastAsia" w:ascii="Times New Roman" w:hAnsi="Times New Roman"/>
          <w:bCs/>
          <w:u w:val="none"/>
          <w:lang w:eastAsia="zh-CN"/>
        </w:rPr>
        <w:t>等</w:t>
      </w:r>
      <w:r>
        <w:rPr>
          <w:rFonts w:ascii="Times New Roman" w:hAnsi="Times New Roman"/>
          <w:bCs/>
          <w:u w:val="none"/>
        </w:rPr>
        <w:t>业务</w:t>
      </w:r>
      <w:r>
        <w:rPr>
          <w:rFonts w:hint="eastAsia" w:ascii="Times New Roman" w:hAnsi="Times New Roman"/>
          <w:bCs/>
          <w:u w:val="none"/>
          <w:lang w:eastAsia="zh-CN"/>
        </w:rPr>
        <w:t>，</w:t>
      </w:r>
      <w:r>
        <w:rPr>
          <w:rFonts w:ascii="Times New Roman" w:hAnsi="Times New Roman"/>
          <w:bCs/>
          <w:u w:val="none"/>
        </w:rPr>
        <w:t>2018年全球营业额为</w:t>
      </w:r>
      <w:r>
        <w:rPr>
          <w:rFonts w:hint="eastAsia" w:ascii="Times New Roman" w:hAnsi="Times New Roman"/>
          <w:bCs/>
          <w:u w:val="none"/>
          <w:lang w:eastAsia="zh-CN"/>
        </w:rPr>
        <w:t>（略）</w:t>
      </w:r>
      <w:r>
        <w:rPr>
          <w:rFonts w:ascii="Times New Roman" w:hAnsi="Times New Roman"/>
          <w:bCs/>
          <w:u w:val="none"/>
        </w:rPr>
        <w:t>，中国境内营业额为</w:t>
      </w:r>
      <w:r>
        <w:rPr>
          <w:rFonts w:hint="eastAsia" w:ascii="Times New Roman" w:hAnsi="Times New Roman"/>
          <w:bCs/>
          <w:u w:val="none"/>
          <w:lang w:eastAsia="zh-CN"/>
        </w:rPr>
        <w:t>（略）</w:t>
      </w:r>
      <w:r>
        <w:rPr>
          <w:rFonts w:ascii="Times New Roman" w:hAnsi="Times New Roman"/>
          <w:bCs/>
          <w:u w:val="none"/>
        </w:rPr>
        <w:t>。</w:t>
      </w:r>
    </w:p>
    <w:p>
      <w:pPr>
        <w:pStyle w:val="7"/>
        <w:keepNext w:val="0"/>
        <w:keepLines w:val="0"/>
        <w:pageBreakBefore w:val="0"/>
        <w:widowControl w:val="0"/>
        <w:kinsoku/>
        <w:wordWrap/>
        <w:overflowPunct w:val="0"/>
        <w:topLinePunct w:val="0"/>
        <w:autoSpaceDE w:val="0"/>
        <w:autoSpaceDN w:val="0"/>
        <w:bidi w:val="0"/>
        <w:adjustRightInd w:val="0"/>
        <w:snapToGrid/>
        <w:spacing w:line="574" w:lineRule="exact"/>
        <w:ind w:firstLine="628" w:firstLineChars="200"/>
        <w:textAlignment w:val="auto"/>
        <w:outlineLvl w:val="9"/>
        <w:rPr>
          <w:rFonts w:hint="default" w:ascii="Times New Roman" w:hAnsi="Times New Roman" w:eastAsia="仿宋_GB2312" w:cs="Times New Roman"/>
          <w:bCs/>
        </w:rPr>
      </w:pPr>
      <w:r>
        <w:rPr>
          <w:rFonts w:ascii="Times New Roman" w:hAnsi="Times New Roman"/>
          <w:b/>
        </w:rPr>
        <w:t>合营方</w:t>
      </w:r>
      <w:r>
        <w:rPr>
          <w:rFonts w:hint="eastAsia" w:ascii="Times New Roman" w:hAnsi="Times New Roman"/>
          <w:b/>
          <w:lang w:eastAsia="zh-CN"/>
        </w:rPr>
        <w:t>二</w:t>
      </w:r>
      <w:r>
        <w:rPr>
          <w:rFonts w:ascii="Times New Roman" w:hAnsi="Times New Roman"/>
          <w:b/>
        </w:rPr>
        <w:t>：</w:t>
      </w:r>
      <w:r>
        <w:rPr>
          <w:rFonts w:hint="eastAsia" w:ascii="Times New Roman" w:hAnsi="Times New Roman"/>
          <w:b/>
          <w:bCs w:val="0"/>
          <w:lang w:eastAsia="zh-CN"/>
        </w:rPr>
        <w:t>浪潮智投</w:t>
      </w:r>
      <w:r>
        <w:rPr>
          <w:rFonts w:ascii="Times New Roman" w:hAnsi="Times New Roman"/>
          <w:b/>
        </w:rPr>
        <w:t>。</w:t>
      </w:r>
      <w:r>
        <w:rPr>
          <w:rFonts w:ascii="Times New Roman" w:hAnsi="Times New Roman"/>
          <w:bCs/>
          <w:u w:val="none"/>
        </w:rPr>
        <w:t>2018年于</w:t>
      </w:r>
      <w:r>
        <w:rPr>
          <w:rFonts w:hint="eastAsia" w:ascii="Times New Roman" w:hAnsi="Times New Roman"/>
          <w:bCs/>
          <w:u w:val="none"/>
          <w:lang w:eastAsia="zh-CN"/>
        </w:rPr>
        <w:t>山东省济南市</w:t>
      </w:r>
      <w:r>
        <w:rPr>
          <w:rFonts w:ascii="Times New Roman" w:hAnsi="Times New Roman"/>
          <w:bCs/>
          <w:u w:val="none"/>
        </w:rPr>
        <w:t>注册成立，最终控制人</w:t>
      </w:r>
      <w:r>
        <w:rPr>
          <w:rFonts w:hint="eastAsia" w:ascii="Times New Roman" w:hAnsi="Times New Roman"/>
          <w:bCs/>
          <w:u w:val="none"/>
          <w:lang w:eastAsia="zh-CN"/>
        </w:rPr>
        <w:t>为（略）</w:t>
      </w:r>
      <w:r>
        <w:rPr>
          <w:rFonts w:ascii="Times New Roman" w:hAnsi="Times New Roman"/>
          <w:bCs/>
          <w:u w:val="none"/>
        </w:rPr>
        <w:t>，主要从事</w:t>
      </w:r>
      <w:r>
        <w:rPr>
          <w:rFonts w:hint="eastAsia" w:ascii="Times New Roman" w:hAnsi="Times New Roman"/>
          <w:bCs/>
          <w:u w:val="none"/>
        </w:rPr>
        <w:t>信息技术开发与咨询服务</w:t>
      </w:r>
      <w:r>
        <w:rPr>
          <w:rFonts w:ascii="Times New Roman" w:hAnsi="Times New Roman"/>
          <w:bCs/>
          <w:u w:val="none"/>
        </w:rPr>
        <w:t>等业务</w:t>
      </w:r>
      <w:r>
        <w:rPr>
          <w:rFonts w:hint="eastAsia" w:ascii="Times New Roman" w:hAnsi="Times New Roman"/>
          <w:bCs/>
          <w:u w:val="none"/>
          <w:lang w:eastAsia="zh-CN"/>
        </w:rPr>
        <w:t>，</w:t>
      </w:r>
      <w:r>
        <w:rPr>
          <w:rFonts w:ascii="Times New Roman" w:hAnsi="Times New Roman"/>
          <w:bCs/>
        </w:rPr>
        <w:t>2018年全球营业额为</w:t>
      </w:r>
      <w:r>
        <w:rPr>
          <w:rFonts w:hint="eastAsia" w:ascii="Times New Roman" w:hAnsi="Times New Roman"/>
          <w:bCs/>
          <w:u w:val="none"/>
          <w:lang w:eastAsia="zh-CN"/>
        </w:rPr>
        <w:t>（略）</w:t>
      </w:r>
      <w:r>
        <w:rPr>
          <w:rFonts w:ascii="Times New Roman" w:hAnsi="Times New Roman"/>
          <w:bCs/>
        </w:rPr>
        <w:t>，中国境内营业额为</w:t>
      </w:r>
      <w:r>
        <w:rPr>
          <w:rFonts w:hint="eastAsia" w:ascii="Times New Roman" w:hAnsi="Times New Roman"/>
          <w:bCs/>
          <w:u w:val="none"/>
          <w:lang w:eastAsia="zh-CN"/>
        </w:rPr>
        <w:t>（略）</w:t>
      </w:r>
      <w:r>
        <w:rPr>
          <w:rFonts w:ascii="Times New Roman" w:hAnsi="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（二）交易概况。</w:t>
      </w:r>
    </w:p>
    <w:p>
      <w:pPr>
        <w:pStyle w:val="7"/>
        <w:keepNext w:val="0"/>
        <w:keepLines w:val="0"/>
        <w:pageBreakBefore w:val="0"/>
        <w:widowControl w:val="0"/>
        <w:kinsoku/>
        <w:wordWrap/>
        <w:topLinePunct w:val="0"/>
        <w:bidi w:val="0"/>
        <w:spacing w:line="574" w:lineRule="exact"/>
        <w:ind w:left="0" w:firstLine="640"/>
        <w:textAlignment w:val="auto"/>
        <w:rPr>
          <w:rFonts w:hint="eastAsia" w:ascii="Times New Roman" w:hAnsi="Times New Roman" w:cs="Times New Roman"/>
          <w:bCs/>
          <w:sz w:val="32"/>
          <w:lang w:eastAsia="zh-CN"/>
        </w:rPr>
      </w:pPr>
      <w:r>
        <w:rPr>
          <w:rFonts w:hint="eastAsia" w:ascii="Times New Roman" w:hAnsi="Times New Roman" w:cs="Times New Roman"/>
          <w:bCs/>
          <w:sz w:val="32"/>
          <w:lang w:eastAsia="zh-CN"/>
        </w:rPr>
        <w:t>本交易系设立合营企业。2019年8月10日，滴滴智慧交通与浪潮智投签订《关于组建山东浪潮滴滴智能科技有限公司（暂定名）并开展业务合作的合作协议》，分别出资</w:t>
      </w:r>
      <w:r>
        <w:rPr>
          <w:rFonts w:hint="eastAsia" w:ascii="Times New Roman" w:hAnsi="Times New Roman"/>
          <w:bCs/>
          <w:u w:val="none"/>
          <w:lang w:eastAsia="zh-CN"/>
        </w:rPr>
        <w:t>（略）</w:t>
      </w:r>
      <w:r>
        <w:rPr>
          <w:rFonts w:hint="eastAsia" w:ascii="Times New Roman" w:hAnsi="Times New Roman" w:cs="Times New Roman"/>
          <w:bCs/>
          <w:sz w:val="32"/>
          <w:lang w:eastAsia="zh-CN"/>
        </w:rPr>
        <w:t xml:space="preserve">，在山东省济南市设立合营企业，滴滴智慧交通和浪潮智投分别持股42%和58%。2019年9月3日，合营企业取得营业执照。  </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left="0"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滴滴智慧交通与浪潮智投设立合营企业，分别持股42%和58%，共同控制合营企业，属于《反垄断法》第二十条规定的经营者集中。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left="0" w:firstLine="628" w:firstLineChars="200"/>
        <w:textAlignment w:val="auto"/>
        <w:rPr>
          <w:rFonts w:hint="default"/>
        </w:rPr>
      </w:pPr>
      <w:r>
        <w:rPr>
          <w:rFonts w:hint="default" w:ascii="Times New Roman" w:hAnsi="Times New Roman" w:eastAsia="仿宋_GB2312" w:cs="Times New Roman"/>
          <w:kern w:val="2"/>
          <w:sz w:val="32"/>
          <w:szCs w:val="32"/>
        </w:rPr>
        <w:t>滴滴智慧交通2018年全球营业额为（略），中国境内营业额为（略）；浪潮智投2018年全球营业额为（略），中国境内营业额为（略），达到《国务院关于经营者集中申报标准的规定》第三条规定的申报标准，属于应当申报的情形。</w:t>
      </w:r>
    </w:p>
    <w:p>
      <w:pPr>
        <w:keepNext w:val="0"/>
        <w:keepLines w:val="0"/>
        <w:pageBreakBefore w:val="0"/>
        <w:widowControl w:val="0"/>
        <w:kinsoku/>
        <w:wordWrap/>
        <w:topLinePunct w:val="0"/>
        <w:bidi w:val="0"/>
        <w:spacing w:line="57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规定“经营者集中达到国务院规定的申报标准的，经营者应当事先向国务院反垄断执法机构申报，未申报的不得实施集中”。2019年9月3日，合营企业取得营业执照，在此之前未向</w:t>
      </w:r>
      <w:r>
        <w:rPr>
          <w:rFonts w:hint="eastAsia" w:eastAsia="仿宋_GB2312" w:cs="Times New Roman"/>
          <w:sz w:val="32"/>
          <w:szCs w:val="32"/>
          <w:lang w:eastAsia="zh-CN"/>
        </w:rPr>
        <w:t>本机关</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kern w:val="2"/>
          <w:sz w:val="32"/>
          <w:szCs w:val="32"/>
        </w:rPr>
        <w:t>违反《反垄断法》第</w:t>
      </w:r>
      <w:r>
        <w:rPr>
          <w:rFonts w:hint="eastAsia"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条，构成未依法申报</w:t>
      </w:r>
      <w:r>
        <w:rPr>
          <w:rFonts w:hint="eastAsia"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楷体_GB2312" w:eastAsia="楷体_GB2312"/>
          <w:kern w:val="2"/>
          <w:sz w:val="32"/>
          <w:szCs w:val="32"/>
        </w:rPr>
      </w:pPr>
      <w:r>
        <w:rPr>
          <w:rFonts w:hint="eastAsia" w:ascii="楷体_GB2312" w:eastAsia="楷体_GB2312"/>
          <w:kern w:val="2"/>
          <w:sz w:val="32"/>
          <w:szCs w:val="32"/>
        </w:rPr>
        <w:t>（二）本案不具有排除、限制竞争的效果。</w:t>
      </w:r>
    </w:p>
    <w:p>
      <w:pPr>
        <w:keepNext w:val="0"/>
        <w:keepLines w:val="0"/>
        <w:pageBreakBefore w:val="0"/>
        <w:widowControl w:val="0"/>
        <w:kinsoku/>
        <w:wordWrap/>
        <w:topLinePunct w:val="0"/>
        <w:bidi w:val="0"/>
        <w:spacing w:line="57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本机关就滴滴智慧交通与浪潮智投设立合营企业对市场竞争的影响进行了评估，评估认为，该项经营者集中不会产生排除、限制竞争的效果。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7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eastAsia" w:eastAsia="仿宋_GB2312" w:cs="Times New Roman"/>
          <w:bCs/>
          <w:color w:val="000000"/>
          <w:kern w:val="2"/>
          <w:sz w:val="32"/>
          <w:szCs w:val="32"/>
          <w:lang w:eastAsia="zh-CN"/>
        </w:rPr>
        <w:t>分别</w:t>
      </w:r>
      <w:r>
        <w:rPr>
          <w:rFonts w:hint="eastAsia" w:ascii="Times New Roman" w:hAnsi="Times New Roman" w:eastAsia="仿宋_GB2312" w:cs="Times New Roman"/>
          <w:bCs/>
          <w:color w:val="000000"/>
          <w:kern w:val="2"/>
          <w:sz w:val="32"/>
          <w:szCs w:val="32"/>
          <w:lang w:eastAsia="zh-CN"/>
        </w:rPr>
        <w:t>给予滴滴智慧交通与浪潮智投</w:t>
      </w:r>
      <w:r>
        <w:rPr>
          <w:rFonts w:hint="eastAsia"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eastAsia" w:ascii="Times New Roman" w:hAnsi="Times New Roman" w:eastAsia="仿宋_GB2312" w:cs="Times New Roman"/>
          <w:bCs/>
          <w:color w:val="000000"/>
          <w:kern w:val="2"/>
          <w:sz w:val="32"/>
          <w:szCs w:val="32"/>
          <w:lang w:eastAsia="zh-CN"/>
        </w:rPr>
        <w:t>罚款</w:t>
      </w:r>
      <w:bookmarkStart w:id="0" w:name="_GoBack"/>
      <w:bookmarkEnd w:id="0"/>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default" w:ascii="Times New Roman" w:hAnsi="Times New Roman" w:eastAsia="仿宋_GB2312" w:cs="Times New Roman"/>
          <w:kern w:val="2"/>
          <w:sz w:val="32"/>
          <w:szCs w:val="32"/>
        </w:rPr>
        <w:t>滴滴智慧交通</w:t>
      </w:r>
      <w:r>
        <w:rPr>
          <w:rFonts w:hint="eastAsia" w:eastAsia="仿宋_GB2312" w:cs="Times New Roman"/>
          <w:kern w:val="2"/>
          <w:sz w:val="32"/>
          <w:szCs w:val="32"/>
          <w:lang w:val="en-US" w:eastAsia="zh-CN"/>
        </w:rPr>
        <w:t>0000002100081944；</w:t>
      </w:r>
      <w:r>
        <w:rPr>
          <w:rFonts w:hint="default" w:ascii="Times New Roman" w:hAnsi="Times New Roman" w:eastAsia="仿宋_GB2312" w:cs="Times New Roman"/>
          <w:kern w:val="2"/>
          <w:sz w:val="32"/>
          <w:szCs w:val="32"/>
        </w:rPr>
        <w:t>浪潮智投</w:t>
      </w:r>
      <w:r>
        <w:rPr>
          <w:rFonts w:hint="eastAsia" w:eastAsia="仿宋_GB2312" w:cs="Times New Roman"/>
          <w:kern w:val="2"/>
          <w:sz w:val="32"/>
          <w:szCs w:val="32"/>
          <w:lang w:val="en-US" w:eastAsia="zh-CN"/>
        </w:rPr>
        <w:t>0000002100081952</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7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7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74"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4</w:t>
      </w:r>
      <w:r>
        <w:rPr>
          <w:rFonts w:hint="eastAsia" w:eastAsia="仿宋_GB2312"/>
          <w:kern w:val="2"/>
          <w:sz w:val="32"/>
          <w:szCs w:val="32"/>
        </w:rPr>
        <w:t>月</w:t>
      </w:r>
      <w:r>
        <w:rPr>
          <w:rFonts w:hint="eastAsia" w:eastAsia="仿宋_GB2312"/>
          <w:kern w:val="2"/>
          <w:sz w:val="32"/>
          <w:szCs w:val="32"/>
          <w:lang w:val="en-US" w:eastAsia="zh-CN"/>
        </w:rPr>
        <w:t>28</w:t>
      </w:r>
      <w:r>
        <w:rPr>
          <w:rFonts w:hint="eastAsia" w:eastAsia="仿宋_GB2312"/>
          <w:kern w:val="2"/>
          <w:sz w:val="32"/>
          <w:szCs w:val="32"/>
        </w:rPr>
        <w:t>日</w:t>
      </w:r>
    </w:p>
    <w:p>
      <w:pPr>
        <w:keepNext w:val="0"/>
        <w:keepLines w:val="0"/>
        <w:pageBreakBefore w:val="0"/>
        <w:widowControl w:val="0"/>
        <w:kinsoku/>
        <w:wordWrap/>
        <w:topLinePunct w:val="0"/>
        <w:bidi w:val="0"/>
        <w:spacing w:line="574" w:lineRule="exact"/>
        <w:ind w:firstLine="628" w:firstLineChars="200"/>
        <w:textAlignment w:val="auto"/>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41E0D0E"/>
    <w:rsid w:val="07132AC3"/>
    <w:rsid w:val="075F674C"/>
    <w:rsid w:val="0799485B"/>
    <w:rsid w:val="084168D1"/>
    <w:rsid w:val="09AC08F5"/>
    <w:rsid w:val="0AEE5F55"/>
    <w:rsid w:val="0B8B1D23"/>
    <w:rsid w:val="0D287FC2"/>
    <w:rsid w:val="0DA65655"/>
    <w:rsid w:val="112C1CC5"/>
    <w:rsid w:val="12015374"/>
    <w:rsid w:val="12203361"/>
    <w:rsid w:val="13F85EFD"/>
    <w:rsid w:val="14C35435"/>
    <w:rsid w:val="16657401"/>
    <w:rsid w:val="169767E4"/>
    <w:rsid w:val="16E604F8"/>
    <w:rsid w:val="18DB1E51"/>
    <w:rsid w:val="18E64D05"/>
    <w:rsid w:val="192053EE"/>
    <w:rsid w:val="1A156921"/>
    <w:rsid w:val="1B095395"/>
    <w:rsid w:val="1B153B89"/>
    <w:rsid w:val="1C4708A8"/>
    <w:rsid w:val="1D3570B1"/>
    <w:rsid w:val="1D560DC8"/>
    <w:rsid w:val="1F573D93"/>
    <w:rsid w:val="202C7574"/>
    <w:rsid w:val="21F867D6"/>
    <w:rsid w:val="265326DA"/>
    <w:rsid w:val="287D125F"/>
    <w:rsid w:val="28C8606C"/>
    <w:rsid w:val="29171A1E"/>
    <w:rsid w:val="2B305AED"/>
    <w:rsid w:val="31E778A8"/>
    <w:rsid w:val="33B94AAA"/>
    <w:rsid w:val="343D17D2"/>
    <w:rsid w:val="36A878FD"/>
    <w:rsid w:val="38043EF0"/>
    <w:rsid w:val="397542D5"/>
    <w:rsid w:val="3C4A316F"/>
    <w:rsid w:val="4084132A"/>
    <w:rsid w:val="426D7E90"/>
    <w:rsid w:val="4297136E"/>
    <w:rsid w:val="4426778A"/>
    <w:rsid w:val="4620426E"/>
    <w:rsid w:val="46F0201D"/>
    <w:rsid w:val="48C876CA"/>
    <w:rsid w:val="490626D5"/>
    <w:rsid w:val="49513DE5"/>
    <w:rsid w:val="49F75885"/>
    <w:rsid w:val="4ABC40B8"/>
    <w:rsid w:val="4D4346CE"/>
    <w:rsid w:val="4D7B743C"/>
    <w:rsid w:val="4DBF15E9"/>
    <w:rsid w:val="4EC74249"/>
    <w:rsid w:val="4EF957B9"/>
    <w:rsid w:val="4EFD73AF"/>
    <w:rsid w:val="50B7443F"/>
    <w:rsid w:val="51075873"/>
    <w:rsid w:val="548B21D5"/>
    <w:rsid w:val="560C7968"/>
    <w:rsid w:val="59612838"/>
    <w:rsid w:val="59BA2DE7"/>
    <w:rsid w:val="5A3175E7"/>
    <w:rsid w:val="5A901B99"/>
    <w:rsid w:val="5A9C5C66"/>
    <w:rsid w:val="5B0A2E62"/>
    <w:rsid w:val="5BDD2331"/>
    <w:rsid w:val="5D4E6DD5"/>
    <w:rsid w:val="5DA5511C"/>
    <w:rsid w:val="5E2B25C0"/>
    <w:rsid w:val="60B62A94"/>
    <w:rsid w:val="630535E1"/>
    <w:rsid w:val="63432760"/>
    <w:rsid w:val="63510D48"/>
    <w:rsid w:val="63CB7EB2"/>
    <w:rsid w:val="640E6FE8"/>
    <w:rsid w:val="64B21BB8"/>
    <w:rsid w:val="65603A31"/>
    <w:rsid w:val="667B6D82"/>
    <w:rsid w:val="67974484"/>
    <w:rsid w:val="67CF61FA"/>
    <w:rsid w:val="68197930"/>
    <w:rsid w:val="686D740E"/>
    <w:rsid w:val="69EF474B"/>
    <w:rsid w:val="6F712D0C"/>
    <w:rsid w:val="6FAE136A"/>
    <w:rsid w:val="7073388E"/>
    <w:rsid w:val="7157046B"/>
    <w:rsid w:val="71C66475"/>
    <w:rsid w:val="71E67E17"/>
    <w:rsid w:val="75F972CD"/>
    <w:rsid w:val="765468B3"/>
    <w:rsid w:val="77606DA1"/>
    <w:rsid w:val="77E15951"/>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2021-04-07T10:09:00Z</cp:lastPrinted>
  <dcterms:modified xsi:type="dcterms:W3CDTF">2021-04-29T03:40:27Z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