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B4814" w14:textId="77777777" w:rsidR="00EA7D61" w:rsidRDefault="005521B8">
      <w:pPr>
        <w:spacing w:line="594" w:lineRule="exact"/>
        <w:contextualSpacing/>
        <w:jc w:val="left"/>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附件</w:t>
      </w:r>
    </w:p>
    <w:p w14:paraId="2E59133D" w14:textId="77777777" w:rsidR="00EA7D61" w:rsidRDefault="00EA7D61">
      <w:pPr>
        <w:spacing w:beforeLines="100" w:before="287" w:afterLines="100" w:after="287" w:line="594" w:lineRule="exact"/>
        <w:contextualSpacing/>
        <w:jc w:val="center"/>
        <w:rPr>
          <w:rFonts w:ascii="Times New Roman" w:eastAsia="方正小标宋简体" w:hAnsi="Times New Roman" w:cs="Times New Roman"/>
          <w:sz w:val="44"/>
          <w:szCs w:val="44"/>
        </w:rPr>
      </w:pPr>
    </w:p>
    <w:p w14:paraId="2A43DB2F" w14:textId="77777777" w:rsidR="00EA7D61" w:rsidRDefault="005521B8">
      <w:pPr>
        <w:spacing w:beforeLines="100" w:before="287" w:afterLines="100" w:after="287" w:line="594" w:lineRule="exact"/>
        <w:contextualSpacing/>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婴幼儿配方乳粉产品稳定性研究指南</w:t>
      </w:r>
    </w:p>
    <w:p w14:paraId="083C739E" w14:textId="77777777" w:rsidR="00EA7D61" w:rsidRPr="005521B8" w:rsidRDefault="005521B8">
      <w:pPr>
        <w:spacing w:beforeLines="100" w:before="287" w:afterLines="100" w:after="287" w:line="594" w:lineRule="exact"/>
        <w:contextualSpacing/>
        <w:jc w:val="center"/>
        <w:rPr>
          <w:rFonts w:ascii="Times New Roman" w:eastAsia="方正小标宋简体" w:hAnsi="Times New Roman" w:cs="Times New Roman"/>
          <w:sz w:val="32"/>
          <w:szCs w:val="32"/>
        </w:rPr>
      </w:pPr>
      <w:r w:rsidRPr="005521B8">
        <w:rPr>
          <w:rFonts w:ascii="Times New Roman" w:eastAsia="方正小标宋简体" w:hAnsi="Times New Roman" w:cs="Times New Roman"/>
          <w:sz w:val="32"/>
          <w:szCs w:val="32"/>
        </w:rPr>
        <w:t>（试行）</w:t>
      </w:r>
    </w:p>
    <w:p w14:paraId="122C2A33" w14:textId="77777777" w:rsidR="00EA7D61" w:rsidRDefault="00EA7D61">
      <w:pPr>
        <w:spacing w:beforeLines="100" w:before="287" w:afterLines="100" w:after="287" w:line="594" w:lineRule="exact"/>
        <w:contextualSpacing/>
        <w:jc w:val="center"/>
        <w:rPr>
          <w:rFonts w:ascii="Times New Roman" w:eastAsia="方正小标宋简体" w:hAnsi="Times New Roman" w:cs="Times New Roman"/>
          <w:sz w:val="44"/>
          <w:szCs w:val="44"/>
        </w:rPr>
      </w:pPr>
    </w:p>
    <w:p w14:paraId="435BAA0A"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本指南适用于申请注册的婴幼儿配方乳粉产品配方营养素货架期衰减等稳定性研究工作，供申请人参考。</w:t>
      </w:r>
    </w:p>
    <w:p w14:paraId="2E970E5C" w14:textId="77777777" w:rsidR="00EA7D61" w:rsidRDefault="005521B8">
      <w:pPr>
        <w:spacing w:line="594" w:lineRule="exact"/>
        <w:ind w:firstLineChars="200" w:firstLine="627"/>
        <w:contextualSpacing/>
        <w:rPr>
          <w:rFonts w:ascii="Times New Roman" w:eastAsia="黑体" w:hAnsi="Times New Roman" w:cs="Times New Roman"/>
          <w:bCs/>
          <w:sz w:val="32"/>
          <w:szCs w:val="32"/>
        </w:rPr>
      </w:pPr>
      <w:r>
        <w:rPr>
          <w:rFonts w:ascii="Times New Roman" w:eastAsia="黑体" w:hAnsi="Times New Roman" w:cs="Times New Roman"/>
          <w:bCs/>
          <w:sz w:val="32"/>
          <w:szCs w:val="32"/>
        </w:rPr>
        <w:t>一、基本原则</w:t>
      </w:r>
    </w:p>
    <w:p w14:paraId="740EB942"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稳定性研究是通过设计试验获得产品质量特性在各种环境因素影响下随时间变化的规律，并据此为产品配方设计、生产工艺设置、包装材料选择、产品贮存条件和保质期的确定等提供支持性信息的过程。</w:t>
      </w:r>
    </w:p>
    <w:p w14:paraId="73E61102"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稳定性研究应结合食品原料（含食品添加剂）的理化性质、产品配方、工艺条件及包装材料等合理设计。</w:t>
      </w:r>
    </w:p>
    <w:p w14:paraId="5C2779A1" w14:textId="77777777" w:rsidR="00EA7D61" w:rsidRDefault="005521B8">
      <w:pPr>
        <w:spacing w:line="594" w:lineRule="exact"/>
        <w:ind w:firstLineChars="200" w:firstLine="627"/>
        <w:contextualSpacing/>
        <w:rPr>
          <w:rFonts w:ascii="Times New Roman" w:eastAsia="黑体" w:hAnsi="Times New Roman" w:cs="Times New Roman"/>
          <w:bCs/>
          <w:sz w:val="32"/>
          <w:szCs w:val="32"/>
        </w:rPr>
      </w:pPr>
      <w:r>
        <w:rPr>
          <w:rFonts w:ascii="Times New Roman" w:eastAsia="黑体" w:hAnsi="Times New Roman" w:cs="Times New Roman"/>
          <w:bCs/>
          <w:sz w:val="32"/>
          <w:szCs w:val="32"/>
        </w:rPr>
        <w:t>二、试验样品和项目</w:t>
      </w:r>
    </w:p>
    <w:p w14:paraId="7171F1B9" w14:textId="77777777" w:rsidR="00EA7D61" w:rsidRDefault="005521B8">
      <w:pPr>
        <w:spacing w:line="594" w:lineRule="exact"/>
        <w:ind w:firstLineChars="200" w:firstLine="627"/>
        <w:contextualSpacing/>
        <w:rPr>
          <w:rFonts w:ascii="Times New Roman" w:eastAsia="华文楷体" w:hAnsi="Times New Roman" w:cs="Times New Roman"/>
          <w:bCs/>
          <w:sz w:val="32"/>
          <w:szCs w:val="32"/>
        </w:rPr>
      </w:pPr>
      <w:r>
        <w:rPr>
          <w:rFonts w:ascii="Times New Roman" w:eastAsia="华文楷体" w:hAnsi="Times New Roman" w:cs="Times New Roman"/>
          <w:bCs/>
          <w:sz w:val="32"/>
          <w:szCs w:val="32"/>
        </w:rPr>
        <w:t>（一）试验样品</w:t>
      </w:r>
    </w:p>
    <w:p w14:paraId="3B53370D"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试验样品应在满足《食品安全国家标准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粉状婴幼儿配方食品良好生产规范》（</w:t>
      </w:r>
      <w:r>
        <w:rPr>
          <w:rFonts w:ascii="Times New Roman" w:eastAsia="仿宋_GB2312" w:hAnsi="Times New Roman" w:cs="Times New Roman"/>
          <w:sz w:val="32"/>
          <w:szCs w:val="32"/>
        </w:rPr>
        <w:t>GB 23790</w:t>
      </w:r>
      <w:r>
        <w:rPr>
          <w:rFonts w:ascii="Times New Roman" w:eastAsia="仿宋_GB2312" w:hAnsi="Times New Roman" w:cs="Times New Roman"/>
          <w:sz w:val="32"/>
          <w:szCs w:val="32"/>
        </w:rPr>
        <w:t>）要求及商业化生产条件下生产，产品配方、生产工艺、质量要求应与注册申请材料一致。每个产品配方均应进行稳定性研究，其加速试验和长期试验分别采用三批次样品进行。同一配方采用不同包装材料的，应充分评估后至少选择一种包装材料进行试验。</w:t>
      </w:r>
    </w:p>
    <w:p w14:paraId="0273B67B" w14:textId="77777777" w:rsidR="00EA7D61" w:rsidRDefault="005521B8">
      <w:pPr>
        <w:spacing w:line="594" w:lineRule="exact"/>
        <w:ind w:firstLineChars="200" w:firstLine="627"/>
        <w:contextualSpacing/>
        <w:rPr>
          <w:rFonts w:ascii="Times New Roman" w:eastAsia="华文楷体" w:hAnsi="Times New Roman" w:cs="Times New Roman"/>
          <w:sz w:val="32"/>
          <w:szCs w:val="32"/>
        </w:rPr>
      </w:pPr>
      <w:r>
        <w:rPr>
          <w:rFonts w:ascii="Times New Roman" w:eastAsia="华文楷体" w:hAnsi="Times New Roman" w:cs="Times New Roman"/>
          <w:sz w:val="32"/>
          <w:szCs w:val="32"/>
        </w:rPr>
        <w:lastRenderedPageBreak/>
        <w:t>（二）试验项目</w:t>
      </w:r>
    </w:p>
    <w:p w14:paraId="2C2C4E79"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含标签标识要求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全部项目作为试验项目，可选取在产品保质期内易于变化、可能影响产品质量、安全性、营养充足性的项目作为重点试验项目，重点试验项目至少包括附录中的项目。试验项目原则上应由申请人采用婴幼儿食品安全国家标准规定的检验方法检测，没有食品安全国家标准或采用国际检验方法的应经过验证。委托有资质第三方检验机构检测的需说明理由。</w:t>
      </w:r>
    </w:p>
    <w:p w14:paraId="3ACB3DDE" w14:textId="77777777" w:rsidR="00EA7D61" w:rsidRDefault="005521B8">
      <w:pPr>
        <w:spacing w:line="594" w:lineRule="exact"/>
        <w:ind w:firstLineChars="200" w:firstLine="627"/>
        <w:contextualSpacing/>
        <w:rPr>
          <w:rFonts w:ascii="Times New Roman" w:eastAsia="华文楷体" w:hAnsi="Times New Roman" w:cs="Times New Roman"/>
          <w:sz w:val="32"/>
          <w:szCs w:val="32"/>
        </w:rPr>
      </w:pPr>
      <w:r>
        <w:rPr>
          <w:rFonts w:ascii="Times New Roman" w:eastAsia="华文楷体" w:hAnsi="Times New Roman" w:cs="Times New Roman"/>
          <w:sz w:val="32"/>
          <w:szCs w:val="32"/>
        </w:rPr>
        <w:t>（三）检测频率</w:t>
      </w:r>
    </w:p>
    <w:p w14:paraId="22114A30"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试验开始和结束时应对所有试验项目进行检测。重点试验项目的检测频率可由申请人根据试验项目的稳定性确定。附录中的重点试验项目应在不同试验方法（加速试验、长期试验）明确的试验时间点进行检测。</w:t>
      </w:r>
    </w:p>
    <w:p w14:paraId="0C57D36E" w14:textId="77777777" w:rsidR="00EA7D61" w:rsidRDefault="005521B8">
      <w:pPr>
        <w:spacing w:line="594" w:lineRule="exact"/>
        <w:ind w:firstLineChars="200" w:firstLine="627"/>
        <w:contextualSpacing/>
        <w:rPr>
          <w:rFonts w:ascii="Times New Roman" w:eastAsia="黑体" w:hAnsi="Times New Roman" w:cs="Times New Roman"/>
          <w:bCs/>
          <w:sz w:val="32"/>
          <w:szCs w:val="32"/>
        </w:rPr>
      </w:pPr>
      <w:r>
        <w:rPr>
          <w:rFonts w:ascii="Times New Roman" w:eastAsia="黑体" w:hAnsi="Times New Roman" w:cs="Times New Roman"/>
          <w:bCs/>
          <w:sz w:val="32"/>
          <w:szCs w:val="32"/>
        </w:rPr>
        <w:t>三、试验方法</w:t>
      </w:r>
    </w:p>
    <w:p w14:paraId="2056DB16" w14:textId="77777777" w:rsidR="00EA7D61" w:rsidRPr="00435BF2" w:rsidRDefault="005521B8" w:rsidP="00435BF2">
      <w:pPr>
        <w:spacing w:line="594" w:lineRule="exact"/>
        <w:ind w:firstLineChars="200" w:firstLine="627"/>
        <w:contextualSpacing/>
        <w:rPr>
          <w:rFonts w:ascii="Times New Roman" w:eastAsia="华文楷体" w:hAnsi="Times New Roman" w:cs="Times New Roman"/>
          <w:bCs/>
          <w:sz w:val="32"/>
          <w:szCs w:val="32"/>
        </w:rPr>
      </w:pPr>
      <w:r w:rsidRPr="00435BF2">
        <w:rPr>
          <w:rFonts w:ascii="Times New Roman" w:eastAsia="华文楷体" w:hAnsi="Times New Roman" w:cs="Times New Roman"/>
          <w:bCs/>
          <w:sz w:val="32"/>
          <w:szCs w:val="32"/>
        </w:rPr>
        <w:t>（一）加速试验</w:t>
      </w:r>
    </w:p>
    <w:p w14:paraId="3F1F9057" w14:textId="77777777" w:rsidR="00EA7D61" w:rsidRDefault="005521B8">
      <w:pPr>
        <w:pStyle w:val="a6"/>
        <w:numPr>
          <w:ilvl w:val="0"/>
          <w:numId w:val="1"/>
        </w:numPr>
        <w:spacing w:line="594" w:lineRule="exact"/>
        <w:ind w:firstLineChars="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试验时间</w:t>
      </w:r>
    </w:p>
    <w:p w14:paraId="38F14008"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加速试验时间为产品保质期的四分之一，且不得少于</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w:t>
      </w:r>
    </w:p>
    <w:p w14:paraId="1A32585D"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加速试验需设置多个试验时间点研究产品的质量变化。如试验时间为</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个月的加速试验，时间点至少包括试验开始和结束时，中间不少于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个时间点，每个时间点间隔不少于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个月。试验开始</w:t>
      </w:r>
      <w:proofErr w:type="gramStart"/>
      <w:r>
        <w:rPr>
          <w:rFonts w:ascii="Times New Roman" w:eastAsia="仿宋_GB2312" w:hAnsi="Times New Roman" w:cs="Times New Roman"/>
          <w:sz w:val="32"/>
          <w:szCs w:val="32"/>
        </w:rPr>
        <w:t>时数据</w:t>
      </w:r>
      <w:proofErr w:type="gramEnd"/>
      <w:r>
        <w:rPr>
          <w:rFonts w:ascii="Times New Roman" w:eastAsia="仿宋_GB2312" w:hAnsi="Times New Roman" w:cs="Times New Roman"/>
          <w:sz w:val="32"/>
          <w:szCs w:val="32"/>
        </w:rPr>
        <w:t>可使用同批次样品质量分析结果。</w:t>
      </w:r>
    </w:p>
    <w:p w14:paraId="18749904" w14:textId="77777777" w:rsidR="00EA7D61" w:rsidRDefault="005521B8">
      <w:pPr>
        <w:pStyle w:val="a6"/>
        <w:numPr>
          <w:ilvl w:val="0"/>
          <w:numId w:val="1"/>
        </w:numPr>
        <w:spacing w:line="594" w:lineRule="exact"/>
        <w:ind w:firstLineChars="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试验条件</w:t>
      </w:r>
    </w:p>
    <w:p w14:paraId="4C1EEEE4"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加速试验条件由申请人根据产品特性、包装材料等因素确定。一般可选择温度</w:t>
      </w:r>
      <w:r>
        <w:rPr>
          <w:rFonts w:ascii="Times New Roman" w:eastAsia="仿宋_GB2312" w:hAnsi="Times New Roman" w:cs="Times New Roman"/>
          <w:sz w:val="32"/>
          <w:szCs w:val="32"/>
        </w:rPr>
        <w:t>37℃±2℃</w:t>
      </w:r>
      <w:r>
        <w:rPr>
          <w:rFonts w:ascii="Times New Roman" w:eastAsia="仿宋_GB2312" w:hAnsi="Times New Roman" w:cs="Times New Roman"/>
          <w:sz w:val="32"/>
          <w:szCs w:val="32"/>
        </w:rPr>
        <w:t>、湿度</w:t>
      </w:r>
      <w:r>
        <w:rPr>
          <w:rFonts w:ascii="Times New Roman" w:eastAsia="仿宋_GB2312" w:hAnsi="Times New Roman" w:cs="Times New Roman"/>
          <w:sz w:val="32"/>
          <w:szCs w:val="32"/>
        </w:rPr>
        <w:t>RH 75</w:t>
      </w: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p>
    <w:p w14:paraId="59BF82C2"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试验时间、加速试验条件等与上述内容不完全一致的，应当提供相关科学依据和试验数据。</w:t>
      </w:r>
    </w:p>
    <w:p w14:paraId="230835D4" w14:textId="77777777" w:rsidR="00EA7D61" w:rsidRPr="00435BF2" w:rsidRDefault="005521B8" w:rsidP="00435BF2">
      <w:pPr>
        <w:spacing w:line="594" w:lineRule="exact"/>
        <w:ind w:firstLineChars="200" w:firstLine="627"/>
        <w:contextualSpacing/>
        <w:rPr>
          <w:rFonts w:ascii="Times New Roman" w:eastAsia="华文楷体" w:hAnsi="Times New Roman" w:cs="Times New Roman"/>
          <w:bCs/>
          <w:sz w:val="32"/>
          <w:szCs w:val="32"/>
        </w:rPr>
      </w:pPr>
      <w:r w:rsidRPr="00435BF2">
        <w:rPr>
          <w:rFonts w:ascii="Times New Roman" w:eastAsia="华文楷体" w:hAnsi="Times New Roman" w:cs="Times New Roman"/>
          <w:bCs/>
          <w:sz w:val="32"/>
          <w:szCs w:val="32"/>
        </w:rPr>
        <w:t>（二）长期试验</w:t>
      </w:r>
    </w:p>
    <w:p w14:paraId="0D05C855" w14:textId="77777777" w:rsidR="00EA7D61" w:rsidRPr="00435BF2" w:rsidRDefault="005521B8" w:rsidP="00435BF2">
      <w:pPr>
        <w:spacing w:line="594" w:lineRule="exact"/>
        <w:ind w:firstLineChars="200" w:firstLine="627"/>
        <w:contextualSpacing/>
        <w:rPr>
          <w:rFonts w:ascii="Times New Roman" w:eastAsia="华文楷体" w:hAnsi="Times New Roman" w:cs="Times New Roman"/>
          <w:bCs/>
          <w:sz w:val="32"/>
          <w:szCs w:val="32"/>
        </w:rPr>
      </w:pPr>
      <w:r>
        <w:rPr>
          <w:rFonts w:ascii="Times New Roman" w:eastAsia="仿宋_GB2312" w:hAnsi="Times New Roman" w:cs="Times New Roman" w:hint="eastAsia"/>
          <w:sz w:val="32"/>
          <w:szCs w:val="32"/>
        </w:rPr>
        <w:t xml:space="preserve">1. </w:t>
      </w:r>
      <w:r>
        <w:rPr>
          <w:rFonts w:ascii="Times New Roman" w:eastAsia="仿宋_GB2312" w:hAnsi="Times New Roman" w:cs="Times New Roman"/>
          <w:sz w:val="32"/>
          <w:szCs w:val="32"/>
        </w:rPr>
        <w:t>试验时间</w:t>
      </w:r>
    </w:p>
    <w:p w14:paraId="31E30ED7"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长期试验时间应与产品保质期一致。</w:t>
      </w:r>
    </w:p>
    <w:p w14:paraId="6EBD1D27"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试验时间点的设置应当考虑产品的稳定性特点。如保质期为</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个月的产品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时间点至少包括试验开始和结束时，中间不少于</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个时间点，每个时间点间隔不少于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个月。保质期超过</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个月的，应适当增加试验时间点，时间点可为第一年每</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个月末一次，第二年每</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个月末一次，第</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年每年一次。试验开始</w:t>
      </w:r>
      <w:proofErr w:type="gramStart"/>
      <w:r>
        <w:rPr>
          <w:rFonts w:ascii="Times New Roman" w:eastAsia="仿宋_GB2312" w:hAnsi="Times New Roman" w:cs="Times New Roman"/>
          <w:sz w:val="32"/>
          <w:szCs w:val="32"/>
        </w:rPr>
        <w:t>时数据</w:t>
      </w:r>
      <w:proofErr w:type="gramEnd"/>
      <w:r>
        <w:rPr>
          <w:rFonts w:ascii="Times New Roman" w:eastAsia="仿宋_GB2312" w:hAnsi="Times New Roman" w:cs="Times New Roman"/>
          <w:sz w:val="32"/>
          <w:szCs w:val="32"/>
        </w:rPr>
        <w:t>可使用同批次样品质量分析结果。</w:t>
      </w:r>
    </w:p>
    <w:p w14:paraId="68145335" w14:textId="77777777" w:rsidR="00EA7D61" w:rsidRDefault="005521B8">
      <w:pPr>
        <w:pStyle w:val="a6"/>
        <w:spacing w:line="594" w:lineRule="exact"/>
        <w:ind w:left="627" w:firstLineChars="0" w:firstLine="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sz w:val="32"/>
          <w:szCs w:val="32"/>
        </w:rPr>
        <w:t>试验条件</w:t>
      </w:r>
    </w:p>
    <w:p w14:paraId="6EC903C6"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长期试验条件由申请人根据产品特性、包装材料等因素确定。试验条件一般应选</w:t>
      </w:r>
      <w:proofErr w:type="gramStart"/>
      <w:r>
        <w:rPr>
          <w:rFonts w:ascii="Times New Roman" w:eastAsia="仿宋_GB2312" w:hAnsi="Times New Roman" w:cs="Times New Roman"/>
          <w:sz w:val="32"/>
          <w:szCs w:val="32"/>
        </w:rPr>
        <w:t>择产品</w:t>
      </w:r>
      <w:proofErr w:type="gramEnd"/>
      <w:r>
        <w:rPr>
          <w:rFonts w:ascii="Times New Roman" w:eastAsia="仿宋_GB2312" w:hAnsi="Times New Roman" w:cs="Times New Roman"/>
          <w:sz w:val="32"/>
          <w:szCs w:val="32"/>
        </w:rPr>
        <w:t>标签标注的贮存条件。</w:t>
      </w:r>
    </w:p>
    <w:p w14:paraId="30A2B5DF"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试验时间、长期试验条件等与上述内容不完全一致的，应当提供相关科学依据和试验数据。</w:t>
      </w:r>
    </w:p>
    <w:p w14:paraId="6D27F810" w14:textId="77777777" w:rsidR="00EA7D61" w:rsidRDefault="005521B8">
      <w:pPr>
        <w:spacing w:line="594" w:lineRule="exact"/>
        <w:ind w:firstLineChars="200" w:firstLine="627"/>
        <w:contextualSpacing/>
        <w:rPr>
          <w:rFonts w:ascii="Times New Roman" w:eastAsia="黑体" w:hAnsi="Times New Roman" w:cs="Times New Roman"/>
          <w:bCs/>
          <w:sz w:val="32"/>
          <w:szCs w:val="32"/>
        </w:rPr>
      </w:pPr>
      <w:r>
        <w:rPr>
          <w:rFonts w:ascii="Times New Roman" w:eastAsia="黑体" w:hAnsi="Times New Roman" w:cs="Times New Roman"/>
          <w:bCs/>
          <w:sz w:val="32"/>
          <w:szCs w:val="32"/>
        </w:rPr>
        <w:t>四、报告内容</w:t>
      </w:r>
    </w:p>
    <w:p w14:paraId="316465AA"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稳定性研究报告内容包括：</w:t>
      </w:r>
    </w:p>
    <w:p w14:paraId="739CFB4E"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（一）试验样品的名称、规格、批次，批产量、生产日期和试验开始时间。</w:t>
      </w:r>
    </w:p>
    <w:p w14:paraId="6861C34A"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（二）生产工艺类型、包装材料名称和执行标准。</w:t>
      </w:r>
    </w:p>
    <w:p w14:paraId="098DD3B7"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（三）试验方法和试验条件（如温度、湿度等）。</w:t>
      </w:r>
    </w:p>
    <w:p w14:paraId="20FFC130"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（四）试验项目、检测方法及其检测限。</w:t>
      </w:r>
    </w:p>
    <w:p w14:paraId="0EA320A3"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（五）以表格的形式提交研究获得的全部试验分析数据。</w:t>
      </w:r>
    </w:p>
    <w:p w14:paraId="2327CAA8"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bookmarkStart w:id="0" w:name="OLE_LINK8"/>
      <w:r>
        <w:rPr>
          <w:rFonts w:ascii="Times New Roman" w:eastAsia="仿宋_GB2312" w:hAnsi="Times New Roman" w:cs="Times New Roman"/>
          <w:sz w:val="32"/>
          <w:szCs w:val="32"/>
        </w:rPr>
        <w:t>（六）各试验时间点检测结果，应以具体数值表示（除感官），其中营养成分检测结果应标示其与首次检测结果的百分比以及与食品安全国家标准（含标签标识要求）的符合性。</w:t>
      </w:r>
      <w:bookmarkEnd w:id="0"/>
      <w:r>
        <w:rPr>
          <w:rFonts w:ascii="Times New Roman" w:eastAsia="仿宋_GB2312" w:hAnsi="Times New Roman" w:cs="Times New Roman"/>
          <w:sz w:val="32"/>
          <w:szCs w:val="32"/>
        </w:rPr>
        <w:t>计量单位符合我国法定计量单位的规定。在某个时间点进行多次检测的，应提供所有的检测结果及其相对标准偏差（</w:t>
      </w:r>
      <w:r>
        <w:rPr>
          <w:rFonts w:ascii="Times New Roman" w:eastAsia="仿宋_GB2312" w:hAnsi="Times New Roman" w:cs="Times New Roman"/>
          <w:sz w:val="32"/>
          <w:szCs w:val="32"/>
        </w:rPr>
        <w:t>RSD</w:t>
      </w:r>
      <w:r>
        <w:rPr>
          <w:rFonts w:ascii="Times New Roman" w:eastAsia="仿宋_GB2312" w:hAnsi="Times New Roman" w:cs="Times New Roman"/>
          <w:sz w:val="32"/>
          <w:szCs w:val="32"/>
        </w:rPr>
        <w:t>）。</w:t>
      </w:r>
    </w:p>
    <w:p w14:paraId="489666C6" w14:textId="77777777" w:rsidR="00EA7D61" w:rsidRDefault="005521B8">
      <w:pPr>
        <w:widowControl/>
        <w:spacing w:line="594"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（七）试验方法选择依据、试验条件设置，试验结果与产品贮存条件、保质期、包装材料之间的关系，对试验结果进行分析并得出研究结论。</w:t>
      </w:r>
    </w:p>
    <w:p w14:paraId="4CF1884E" w14:textId="77777777" w:rsidR="00EA7D61" w:rsidRDefault="00EA7D61">
      <w:pPr>
        <w:widowControl/>
        <w:spacing w:line="594" w:lineRule="exact"/>
        <w:ind w:firstLine="640"/>
        <w:contextualSpacing/>
        <w:rPr>
          <w:rFonts w:ascii="Times New Roman" w:eastAsia="仿宋_GB2312" w:hAnsi="Times New Roman" w:cs="Times New Roman"/>
          <w:sz w:val="32"/>
          <w:szCs w:val="32"/>
        </w:rPr>
      </w:pPr>
    </w:p>
    <w:p w14:paraId="6906F206" w14:textId="77777777" w:rsidR="00EA7D61" w:rsidRDefault="00EA7D61"/>
    <w:p w14:paraId="4A7FBA47" w14:textId="77777777" w:rsidR="00EA7D61" w:rsidRDefault="00EA7D61"/>
    <w:p w14:paraId="211A176D" w14:textId="77777777" w:rsidR="00EA7D61" w:rsidRDefault="00EA7D61"/>
    <w:p w14:paraId="01017E14" w14:textId="77777777" w:rsidR="00EA7D61" w:rsidRDefault="00EA7D61"/>
    <w:p w14:paraId="314E71B3" w14:textId="77777777" w:rsidR="00EA7D61" w:rsidRDefault="00EA7D61"/>
    <w:p w14:paraId="296CAEDB" w14:textId="77777777" w:rsidR="00EA7D61" w:rsidRDefault="00EA7D61"/>
    <w:p w14:paraId="497CC9D5" w14:textId="77777777" w:rsidR="00EA7D61" w:rsidRDefault="005521B8">
      <w:pPr>
        <w:tabs>
          <w:tab w:val="left" w:pos="7919"/>
        </w:tabs>
        <w:jc w:val="left"/>
        <w:sectPr w:rsidR="00EA7D61">
          <w:footerReference w:type="even" r:id="rId8"/>
          <w:footerReference w:type="default" r:id="rId9"/>
          <w:pgSz w:w="11900" w:h="16840"/>
          <w:pgMar w:top="1984" w:right="1474" w:bottom="1644" w:left="1474" w:header="851" w:footer="1191" w:gutter="0"/>
          <w:pgNumType w:fmt="numberInDash"/>
          <w:cols w:space="0"/>
          <w:docGrid w:type="linesAndChars" w:linePitch="287" w:charSpace="-1341"/>
        </w:sectPr>
      </w:pPr>
      <w:r>
        <w:rPr>
          <w:rFonts w:hint="eastAsia"/>
        </w:rPr>
        <w:tab/>
      </w:r>
    </w:p>
    <w:p w14:paraId="5357D066" w14:textId="77777777" w:rsidR="00EA7D61" w:rsidRDefault="005521B8">
      <w:pPr>
        <w:spacing w:line="594" w:lineRule="exact"/>
        <w:contextualSpacing/>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附录</w:t>
      </w:r>
    </w:p>
    <w:p w14:paraId="6AE2BD4E" w14:textId="43A80425" w:rsidR="00EA7D61" w:rsidRDefault="005521B8">
      <w:pPr>
        <w:spacing w:line="594" w:lineRule="exact"/>
        <w:contextualSpacing/>
        <w:jc w:val="center"/>
        <w:rPr>
          <w:rFonts w:ascii="Times New Roman" w:eastAsia="黑体" w:hAnsi="Times New Roman" w:cs="Times New Roman"/>
          <w:sz w:val="36"/>
          <w:szCs w:val="36"/>
        </w:rPr>
      </w:pPr>
      <w:r w:rsidRPr="005521B8">
        <w:rPr>
          <w:rFonts w:ascii="Times New Roman" w:eastAsia="黑体" w:hAnsi="Times New Roman" w:cs="Times New Roman"/>
          <w:sz w:val="36"/>
          <w:szCs w:val="36"/>
        </w:rPr>
        <w:t>稳定性重点试验项目</w:t>
      </w:r>
    </w:p>
    <w:p w14:paraId="1FB3CD85" w14:textId="77777777" w:rsidR="005521B8" w:rsidRPr="005521B8" w:rsidRDefault="005521B8">
      <w:pPr>
        <w:spacing w:line="594" w:lineRule="exact"/>
        <w:contextualSpacing/>
        <w:jc w:val="center"/>
        <w:rPr>
          <w:rFonts w:ascii="Times New Roman" w:eastAsia="黑体" w:hAnsi="Times New Roman" w:cs="Times New Roman"/>
          <w:sz w:val="36"/>
          <w:szCs w:val="36"/>
        </w:rPr>
      </w:pPr>
    </w:p>
    <w:tbl>
      <w:tblPr>
        <w:tblStyle w:val="a5"/>
        <w:tblW w:w="8290" w:type="dxa"/>
        <w:jc w:val="center"/>
        <w:tblLayout w:type="fixed"/>
        <w:tblLook w:val="04A0" w:firstRow="1" w:lastRow="0" w:firstColumn="1" w:lastColumn="0" w:noHBand="0" w:noVBand="1"/>
      </w:tblPr>
      <w:tblGrid>
        <w:gridCol w:w="2012"/>
        <w:gridCol w:w="6278"/>
      </w:tblGrid>
      <w:tr w:rsidR="00EA7D61" w14:paraId="018F0E22" w14:textId="77777777">
        <w:trPr>
          <w:jc w:val="center"/>
        </w:trPr>
        <w:tc>
          <w:tcPr>
            <w:tcW w:w="2012" w:type="dxa"/>
            <w:vAlign w:val="center"/>
          </w:tcPr>
          <w:p w14:paraId="17855AE4" w14:textId="77777777" w:rsidR="00EA7D61" w:rsidRDefault="005521B8">
            <w:pPr>
              <w:spacing w:line="594" w:lineRule="exact"/>
              <w:contextualSpacing/>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序号</w:t>
            </w:r>
          </w:p>
        </w:tc>
        <w:tc>
          <w:tcPr>
            <w:tcW w:w="6278" w:type="dxa"/>
            <w:vAlign w:val="center"/>
          </w:tcPr>
          <w:p w14:paraId="71FC928D" w14:textId="77777777" w:rsidR="00EA7D61" w:rsidRDefault="005521B8">
            <w:pPr>
              <w:spacing w:line="594" w:lineRule="exact"/>
              <w:contextualSpacing/>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试验项目</w:t>
            </w:r>
          </w:p>
        </w:tc>
      </w:tr>
      <w:tr w:rsidR="00EA7D61" w14:paraId="152EC8EA" w14:textId="77777777">
        <w:trPr>
          <w:jc w:val="center"/>
        </w:trPr>
        <w:tc>
          <w:tcPr>
            <w:tcW w:w="2012" w:type="dxa"/>
            <w:vAlign w:val="center"/>
          </w:tcPr>
          <w:p w14:paraId="681DD8D5"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w:t>
            </w:r>
          </w:p>
        </w:tc>
        <w:tc>
          <w:tcPr>
            <w:tcW w:w="6278" w:type="dxa"/>
            <w:vAlign w:val="center"/>
          </w:tcPr>
          <w:p w14:paraId="5C146335"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感官</w:t>
            </w:r>
          </w:p>
        </w:tc>
      </w:tr>
      <w:tr w:rsidR="00EA7D61" w14:paraId="0DA24886" w14:textId="77777777">
        <w:trPr>
          <w:jc w:val="center"/>
        </w:trPr>
        <w:tc>
          <w:tcPr>
            <w:tcW w:w="2012" w:type="dxa"/>
            <w:vAlign w:val="center"/>
          </w:tcPr>
          <w:p w14:paraId="3EDE789F"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w:t>
            </w:r>
          </w:p>
        </w:tc>
        <w:tc>
          <w:tcPr>
            <w:tcW w:w="6278" w:type="dxa"/>
            <w:vAlign w:val="center"/>
          </w:tcPr>
          <w:p w14:paraId="77C64DC4"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亚油酸或</w:t>
            </w:r>
            <w:r>
              <w:rPr>
                <w:rFonts w:ascii="Times New Roman" w:eastAsia="仿宋_GB2312" w:hAnsi="Times New Roman" w:cs="Times New Roman"/>
                <w:sz w:val="32"/>
                <w:szCs w:val="32"/>
              </w:rPr>
              <w:t>α-</w:t>
            </w:r>
            <w:r>
              <w:rPr>
                <w:rFonts w:ascii="Times New Roman" w:eastAsia="仿宋_GB2312" w:hAnsi="Times New Roman" w:cs="Times New Roman"/>
                <w:sz w:val="32"/>
                <w:szCs w:val="32"/>
              </w:rPr>
              <w:t>亚麻酸</w:t>
            </w:r>
          </w:p>
        </w:tc>
      </w:tr>
      <w:tr w:rsidR="00EA7D61" w14:paraId="60363489" w14:textId="77777777">
        <w:trPr>
          <w:jc w:val="center"/>
        </w:trPr>
        <w:tc>
          <w:tcPr>
            <w:tcW w:w="2012" w:type="dxa"/>
            <w:vAlign w:val="center"/>
          </w:tcPr>
          <w:p w14:paraId="25C4FAF2"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3</w:t>
            </w:r>
          </w:p>
        </w:tc>
        <w:tc>
          <w:tcPr>
            <w:tcW w:w="6278" w:type="dxa"/>
            <w:vAlign w:val="center"/>
          </w:tcPr>
          <w:p w14:paraId="10DBED95"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维生素</w:t>
            </w:r>
            <w:r>
              <w:rPr>
                <w:rFonts w:ascii="Times New Roman" w:eastAsia="仿宋_GB2312" w:hAnsi="Times New Roman" w:cs="Times New Roman"/>
                <w:sz w:val="32"/>
                <w:szCs w:val="32"/>
              </w:rPr>
              <w:t>A</w:t>
            </w:r>
          </w:p>
        </w:tc>
      </w:tr>
      <w:tr w:rsidR="00EA7D61" w14:paraId="11C14C91" w14:textId="77777777">
        <w:trPr>
          <w:jc w:val="center"/>
        </w:trPr>
        <w:tc>
          <w:tcPr>
            <w:tcW w:w="2012" w:type="dxa"/>
            <w:vAlign w:val="center"/>
          </w:tcPr>
          <w:p w14:paraId="1A8A4995"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4</w:t>
            </w:r>
          </w:p>
        </w:tc>
        <w:tc>
          <w:tcPr>
            <w:tcW w:w="6278" w:type="dxa"/>
            <w:vAlign w:val="center"/>
          </w:tcPr>
          <w:p w14:paraId="46359C7D"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维生素</w:t>
            </w:r>
            <w:r>
              <w:rPr>
                <w:rFonts w:ascii="Times New Roman" w:eastAsia="仿宋_GB2312" w:hAnsi="Times New Roman" w:cs="Times New Roman"/>
                <w:sz w:val="32"/>
                <w:szCs w:val="32"/>
              </w:rPr>
              <w:t>E</w:t>
            </w:r>
          </w:p>
        </w:tc>
      </w:tr>
      <w:tr w:rsidR="00EA7D61" w14:paraId="63B0D077" w14:textId="77777777">
        <w:trPr>
          <w:jc w:val="center"/>
        </w:trPr>
        <w:tc>
          <w:tcPr>
            <w:tcW w:w="2012" w:type="dxa"/>
            <w:vAlign w:val="center"/>
          </w:tcPr>
          <w:p w14:paraId="3FA31265"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5</w:t>
            </w:r>
          </w:p>
        </w:tc>
        <w:tc>
          <w:tcPr>
            <w:tcW w:w="6278" w:type="dxa"/>
            <w:vAlign w:val="center"/>
          </w:tcPr>
          <w:p w14:paraId="6E057D9D"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维生素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p>
        </w:tc>
      </w:tr>
      <w:tr w:rsidR="00EA7D61" w14:paraId="5A7A28B5" w14:textId="77777777">
        <w:trPr>
          <w:jc w:val="center"/>
        </w:trPr>
        <w:tc>
          <w:tcPr>
            <w:tcW w:w="2012" w:type="dxa"/>
            <w:vAlign w:val="center"/>
          </w:tcPr>
          <w:p w14:paraId="113A5CBF"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6</w:t>
            </w:r>
          </w:p>
        </w:tc>
        <w:tc>
          <w:tcPr>
            <w:tcW w:w="6278" w:type="dxa"/>
            <w:vAlign w:val="center"/>
          </w:tcPr>
          <w:p w14:paraId="0704B400"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维生素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6</w:t>
            </w:r>
          </w:p>
        </w:tc>
      </w:tr>
      <w:tr w:rsidR="00EA7D61" w14:paraId="05050FA0" w14:textId="77777777">
        <w:trPr>
          <w:jc w:val="center"/>
        </w:trPr>
        <w:tc>
          <w:tcPr>
            <w:tcW w:w="2012" w:type="dxa"/>
            <w:vAlign w:val="center"/>
          </w:tcPr>
          <w:p w14:paraId="1B789740"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7</w:t>
            </w:r>
          </w:p>
        </w:tc>
        <w:tc>
          <w:tcPr>
            <w:tcW w:w="6278" w:type="dxa"/>
            <w:vAlign w:val="center"/>
          </w:tcPr>
          <w:p w14:paraId="7C4F3083"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维生素</w:t>
            </w:r>
            <w:r>
              <w:rPr>
                <w:rFonts w:ascii="Times New Roman" w:eastAsia="仿宋_GB2312" w:hAnsi="Times New Roman" w:cs="Times New Roman"/>
                <w:sz w:val="32"/>
                <w:szCs w:val="32"/>
              </w:rPr>
              <w:t>C</w:t>
            </w:r>
          </w:p>
        </w:tc>
      </w:tr>
      <w:tr w:rsidR="00EA7D61" w14:paraId="1065EA78" w14:textId="77777777">
        <w:trPr>
          <w:jc w:val="center"/>
        </w:trPr>
        <w:tc>
          <w:tcPr>
            <w:tcW w:w="2012" w:type="dxa"/>
            <w:vAlign w:val="center"/>
          </w:tcPr>
          <w:p w14:paraId="2E350E52"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8</w:t>
            </w:r>
          </w:p>
        </w:tc>
        <w:tc>
          <w:tcPr>
            <w:tcW w:w="6278" w:type="dxa"/>
            <w:vAlign w:val="center"/>
          </w:tcPr>
          <w:p w14:paraId="4473252C"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碘</w:t>
            </w:r>
          </w:p>
        </w:tc>
      </w:tr>
      <w:tr w:rsidR="00EA7D61" w14:paraId="69B07667" w14:textId="77777777">
        <w:trPr>
          <w:jc w:val="center"/>
        </w:trPr>
        <w:tc>
          <w:tcPr>
            <w:tcW w:w="2012" w:type="dxa"/>
            <w:vAlign w:val="center"/>
          </w:tcPr>
          <w:p w14:paraId="30E0BD22"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9</w:t>
            </w:r>
          </w:p>
        </w:tc>
        <w:tc>
          <w:tcPr>
            <w:tcW w:w="6278" w:type="dxa"/>
            <w:vAlign w:val="center"/>
          </w:tcPr>
          <w:p w14:paraId="38C49C64"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二十二碳六烯酸</w:t>
            </w:r>
            <w:r>
              <w:rPr>
                <w:rFonts w:ascii="Times New Roman" w:eastAsia="仿宋_GB2312" w:hAnsi="Times New Roman" w:cs="Times New Roman"/>
                <w:sz w:val="32"/>
                <w:szCs w:val="32"/>
                <w:vertAlign w:val="superscript"/>
              </w:rPr>
              <w:t>a</w:t>
            </w:r>
          </w:p>
        </w:tc>
      </w:tr>
      <w:tr w:rsidR="00EA7D61" w14:paraId="13F52E9C" w14:textId="77777777">
        <w:trPr>
          <w:jc w:val="center"/>
        </w:trPr>
        <w:tc>
          <w:tcPr>
            <w:tcW w:w="2012" w:type="dxa"/>
            <w:vAlign w:val="center"/>
          </w:tcPr>
          <w:p w14:paraId="31BB3199"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10</w:t>
            </w:r>
          </w:p>
        </w:tc>
        <w:tc>
          <w:tcPr>
            <w:tcW w:w="6278" w:type="dxa"/>
            <w:vAlign w:val="center"/>
          </w:tcPr>
          <w:p w14:paraId="756A8ECC" w14:textId="77777777" w:rsidR="00EA7D61" w:rsidRDefault="005521B8">
            <w:pPr>
              <w:spacing w:line="594" w:lineRule="exact"/>
              <w:contextualSpacing/>
              <w:jc w:val="center"/>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二十碳四烯酸</w:t>
            </w:r>
            <w:proofErr w:type="gramEnd"/>
            <w:r>
              <w:rPr>
                <w:rFonts w:ascii="Times New Roman" w:eastAsia="仿宋_GB2312" w:hAnsi="Times New Roman" w:cs="Times New Roman"/>
                <w:sz w:val="32"/>
                <w:szCs w:val="32"/>
                <w:vertAlign w:val="superscript"/>
              </w:rPr>
              <w:t>a</w:t>
            </w:r>
          </w:p>
        </w:tc>
      </w:tr>
      <w:tr w:rsidR="00EA7D61" w14:paraId="3EB64016" w14:textId="77777777">
        <w:trPr>
          <w:jc w:val="center"/>
        </w:trPr>
        <w:tc>
          <w:tcPr>
            <w:tcW w:w="2012" w:type="dxa"/>
            <w:vAlign w:val="center"/>
          </w:tcPr>
          <w:p w14:paraId="4009CBF2"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11</w:t>
            </w:r>
          </w:p>
        </w:tc>
        <w:tc>
          <w:tcPr>
            <w:tcW w:w="6278" w:type="dxa"/>
            <w:vAlign w:val="center"/>
          </w:tcPr>
          <w:p w14:paraId="52E1E25F"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水分</w:t>
            </w:r>
          </w:p>
        </w:tc>
      </w:tr>
      <w:tr w:rsidR="00EA7D61" w14:paraId="2C4A4804" w14:textId="77777777">
        <w:trPr>
          <w:jc w:val="center"/>
        </w:trPr>
        <w:tc>
          <w:tcPr>
            <w:tcW w:w="2012" w:type="dxa"/>
            <w:vAlign w:val="center"/>
          </w:tcPr>
          <w:p w14:paraId="70C56335"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12</w:t>
            </w:r>
          </w:p>
        </w:tc>
        <w:tc>
          <w:tcPr>
            <w:tcW w:w="6278" w:type="dxa"/>
            <w:vAlign w:val="center"/>
          </w:tcPr>
          <w:p w14:paraId="5F7BD293"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叶黄素</w:t>
            </w:r>
            <w:r>
              <w:rPr>
                <w:rFonts w:ascii="Times New Roman" w:eastAsia="仿宋_GB2312" w:hAnsi="Times New Roman" w:cs="Times New Roman"/>
                <w:sz w:val="32"/>
                <w:szCs w:val="32"/>
                <w:vertAlign w:val="superscript"/>
              </w:rPr>
              <w:t>a</w:t>
            </w:r>
          </w:p>
        </w:tc>
      </w:tr>
      <w:tr w:rsidR="00EA7D61" w14:paraId="23FAD1AD" w14:textId="77777777">
        <w:trPr>
          <w:jc w:val="center"/>
        </w:trPr>
        <w:tc>
          <w:tcPr>
            <w:tcW w:w="2012" w:type="dxa"/>
            <w:vAlign w:val="center"/>
          </w:tcPr>
          <w:p w14:paraId="38B98989"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13</w:t>
            </w:r>
          </w:p>
        </w:tc>
        <w:tc>
          <w:tcPr>
            <w:tcW w:w="6278" w:type="dxa"/>
            <w:vAlign w:val="center"/>
          </w:tcPr>
          <w:p w14:paraId="40DE1C92"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牛磺酸</w:t>
            </w:r>
            <w:r>
              <w:rPr>
                <w:rFonts w:ascii="Times New Roman" w:eastAsia="仿宋_GB2312" w:hAnsi="Times New Roman" w:cs="Times New Roman"/>
                <w:sz w:val="32"/>
                <w:szCs w:val="32"/>
                <w:vertAlign w:val="superscript"/>
              </w:rPr>
              <w:t>a</w:t>
            </w:r>
          </w:p>
        </w:tc>
      </w:tr>
      <w:tr w:rsidR="00EA7D61" w14:paraId="4089DC9D" w14:textId="77777777">
        <w:trPr>
          <w:jc w:val="center"/>
        </w:trPr>
        <w:tc>
          <w:tcPr>
            <w:tcW w:w="2012" w:type="dxa"/>
            <w:vAlign w:val="center"/>
          </w:tcPr>
          <w:p w14:paraId="684A9C02"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14</w:t>
            </w:r>
          </w:p>
        </w:tc>
        <w:tc>
          <w:tcPr>
            <w:tcW w:w="6278" w:type="dxa"/>
            <w:vAlign w:val="center"/>
          </w:tcPr>
          <w:p w14:paraId="114FE17B" w14:textId="77777777" w:rsidR="00EA7D61" w:rsidRDefault="005521B8">
            <w:pPr>
              <w:spacing w:line="594" w:lineRule="exact"/>
              <w:contextualSpacing/>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活性菌种</w:t>
            </w:r>
            <w:r>
              <w:rPr>
                <w:rFonts w:ascii="Times New Roman" w:eastAsia="仿宋_GB2312" w:hAnsi="Times New Roman" w:cs="Times New Roman"/>
                <w:sz w:val="32"/>
                <w:szCs w:val="32"/>
                <w:vertAlign w:val="superscript"/>
              </w:rPr>
              <w:t>ab</w:t>
            </w:r>
          </w:p>
        </w:tc>
      </w:tr>
      <w:tr w:rsidR="00EA7D61" w14:paraId="39DEF882" w14:textId="77777777">
        <w:trPr>
          <w:jc w:val="center"/>
        </w:trPr>
        <w:tc>
          <w:tcPr>
            <w:tcW w:w="8290" w:type="dxa"/>
            <w:gridSpan w:val="2"/>
            <w:vAlign w:val="center"/>
          </w:tcPr>
          <w:p w14:paraId="03E13DF8" w14:textId="77777777" w:rsidR="00EA7D61" w:rsidRDefault="005521B8">
            <w:pPr>
              <w:spacing w:line="594" w:lineRule="exact"/>
              <w:contextualSpacing/>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注：</w:t>
            </w:r>
            <w:r>
              <w:rPr>
                <w:rFonts w:ascii="Times New Roman" w:eastAsia="仿宋_GB2312" w:hAnsi="Times New Roman" w:cs="Times New Roman"/>
                <w:sz w:val="30"/>
                <w:szCs w:val="30"/>
              </w:rPr>
              <w:t xml:space="preserve">a. </w:t>
            </w:r>
            <w:r>
              <w:rPr>
                <w:rFonts w:ascii="Times New Roman" w:eastAsia="仿宋_GB2312" w:hAnsi="Times New Roman" w:cs="Times New Roman"/>
                <w:sz w:val="30"/>
                <w:szCs w:val="30"/>
              </w:rPr>
              <w:t>在产品中选择添加时检测。</w:t>
            </w:r>
          </w:p>
          <w:p w14:paraId="7312F8C8" w14:textId="77777777" w:rsidR="00EA7D61" w:rsidRDefault="005521B8">
            <w:pPr>
              <w:spacing w:line="594" w:lineRule="exact"/>
              <w:ind w:firstLineChars="200" w:firstLine="600"/>
              <w:contextualSpacing/>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b. </w:t>
            </w:r>
            <w:r>
              <w:rPr>
                <w:rFonts w:ascii="Times New Roman" w:eastAsia="仿宋_GB2312" w:hAnsi="Times New Roman" w:cs="Times New Roman"/>
                <w:sz w:val="30"/>
                <w:szCs w:val="30"/>
              </w:rPr>
              <w:t>对某些不适于加速试验条件的活性菌种，可用同水分活度下相似配方的历史长期数据进行分析。</w:t>
            </w:r>
          </w:p>
        </w:tc>
      </w:tr>
    </w:tbl>
    <w:p w14:paraId="39F063C6" w14:textId="77777777" w:rsidR="00EA7D61" w:rsidRDefault="00EA7D61">
      <w:pPr>
        <w:spacing w:line="594" w:lineRule="exact"/>
        <w:rPr>
          <w:rFonts w:ascii="Times New Roman" w:hAnsi="Times New Roman" w:cs="Times New Roman"/>
        </w:rPr>
      </w:pPr>
    </w:p>
    <w:sectPr w:rsidR="00EA7D61">
      <w:pgSz w:w="11906" w:h="16838"/>
      <w:pgMar w:top="1985" w:right="1474" w:bottom="1644" w:left="1474" w:header="851" w:footer="1191"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F0157" w14:textId="77777777" w:rsidR="00CE0217" w:rsidRDefault="005521B8">
      <w:r>
        <w:separator/>
      </w:r>
    </w:p>
  </w:endnote>
  <w:endnote w:type="continuationSeparator" w:id="0">
    <w:p w14:paraId="32399C69" w14:textId="77777777" w:rsidR="00CE0217" w:rsidRDefault="0055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华文楷体">
    <w:altName w:val="楷体_GB2312"/>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00CEB" w14:textId="77777777" w:rsidR="00EA7D61" w:rsidRDefault="005521B8">
    <w:pPr>
      <w:pStyle w:val="a3"/>
    </w:pPr>
    <w:r>
      <w:rPr>
        <w:noProof/>
      </w:rPr>
      <mc:AlternateContent>
        <mc:Choice Requires="wps">
          <w:drawing>
            <wp:anchor distT="0" distB="0" distL="114300" distR="114300" simplePos="0" relativeHeight="251659264" behindDoc="0" locked="0" layoutInCell="1" allowOverlap="1" wp14:anchorId="32EF0CED" wp14:editId="17CFB19F">
              <wp:simplePos x="0" y="0"/>
              <wp:positionH relativeFrom="margin">
                <wp:posOffset>-37465</wp:posOffset>
              </wp:positionH>
              <wp:positionV relativeFrom="paragraph">
                <wp:posOffset>-104140</wp:posOffset>
              </wp:positionV>
              <wp:extent cx="451485" cy="2216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51485" cy="221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026496E" w14:textId="77777777" w:rsidR="00EA7D61" w:rsidRDefault="005521B8">
                          <w:pPr>
                            <w:pStyle w:val="a3"/>
                            <w:rPr>
                              <w:rFonts w:asciiTheme="minorEastAsia" w:hAnsiTheme="minorEastAsia" w:cstheme="minorEastAsia"/>
                              <w:sz w:val="21"/>
                              <w:szCs w:val="21"/>
                            </w:rPr>
                          </w:pP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  \* MERGEFORMAT </w:instrText>
                          </w:r>
                          <w:r>
                            <w:rPr>
                              <w:rFonts w:ascii="宋体" w:eastAsia="宋体" w:hAnsi="宋体" w:cs="宋体" w:hint="eastAsia"/>
                              <w:sz w:val="21"/>
                              <w:szCs w:val="21"/>
                            </w:rPr>
                            <w:fldChar w:fldCharType="separate"/>
                          </w:r>
                          <w:r>
                            <w:rPr>
                              <w:rFonts w:ascii="宋体" w:eastAsia="宋体" w:hAnsi="宋体" w:cs="宋体" w:hint="eastAsia"/>
                              <w:sz w:val="21"/>
                              <w:szCs w:val="21"/>
                            </w:rPr>
                            <w:t>- 2 -</w:t>
                          </w:r>
                          <w:r>
                            <w:rPr>
                              <w:rFonts w:ascii="宋体" w:eastAsia="宋体" w:hAnsi="宋体" w:cs="宋体" w:hint="eastAsia"/>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32EF0CED" id="_x0000_t202" coordsize="21600,21600" o:spt="202" path="m,l,21600r21600,l21600,xe">
              <v:stroke joinstyle="miter"/>
              <v:path gradientshapeok="t" o:connecttype="rect"/>
            </v:shapetype>
            <v:shape id="文本框 2" o:spid="_x0000_s1026" type="#_x0000_t202" style="position:absolute;margin-left:-2.95pt;margin-top:-8.2pt;width:35.55pt;height:17.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" filled="f" stroked="f" strokeweight=".5pt">
              <v:textbox inset="0,0,0,0">
                <w:txbxContent>
                  <w:p w14:paraId="3026496E" w14:textId="77777777" w:rsidR="00EA7D61" w:rsidRDefault="005521B8">
                    <w:pPr>
                      <w:pStyle w:val="a3"/>
                      <w:rPr>
                        <w:rFonts w:asciiTheme="minorEastAsia" w:hAnsiTheme="minorEastAsia" w:cstheme="minorEastAsia"/>
                        <w:sz w:val="21"/>
                        <w:szCs w:val="21"/>
                      </w:rPr>
                    </w:pP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  \* MERGEFORMAT </w:instrText>
                    </w:r>
                    <w:r>
                      <w:rPr>
                        <w:rFonts w:ascii="宋体" w:eastAsia="宋体" w:hAnsi="宋体" w:cs="宋体" w:hint="eastAsia"/>
                        <w:sz w:val="21"/>
                        <w:szCs w:val="21"/>
                      </w:rPr>
                      <w:fldChar w:fldCharType="separate"/>
                    </w:r>
                    <w:r>
                      <w:rPr>
                        <w:rFonts w:ascii="宋体" w:eastAsia="宋体" w:hAnsi="宋体" w:cs="宋体" w:hint="eastAsia"/>
                        <w:sz w:val="21"/>
                        <w:szCs w:val="21"/>
                      </w:rPr>
                      <w:t>- 2 -</w:t>
                    </w:r>
                    <w:r>
                      <w:rPr>
                        <w:rFonts w:ascii="宋体" w:eastAsia="宋体" w:hAnsi="宋体" w:cs="宋体" w:hint="eastAsia"/>
                        <w:sz w:val="21"/>
                        <w:szCs w:val="21"/>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3DD6" w14:textId="77777777" w:rsidR="00EA7D61" w:rsidRDefault="005521B8">
    <w:pPr>
      <w:pStyle w:val="a3"/>
      <w:jc w:val="center"/>
    </w:pPr>
    <w:r>
      <w:rPr>
        <w:noProof/>
      </w:rPr>
      <mc:AlternateContent>
        <mc:Choice Requires="wps">
          <w:drawing>
            <wp:anchor distT="0" distB="0" distL="114300" distR="114300" simplePos="0" relativeHeight="251658240" behindDoc="0" locked="0" layoutInCell="1" allowOverlap="1" wp14:anchorId="15DDEC38" wp14:editId="7DBBD072">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611235"/>
                          </w:sdtPr>
                          <w:sdtEndPr/>
                          <w:sdtContent>
                            <w:p w14:paraId="293896C8" w14:textId="77777777" w:rsidR="00EA7D61" w:rsidRDefault="005521B8">
                              <w:pPr>
                                <w:pStyle w:val="a3"/>
                                <w:jc w:val="center"/>
                              </w:pPr>
                              <w:r>
                                <w:rPr>
                                  <w:rFonts w:asciiTheme="minorEastAsia" w:hAnsiTheme="minorEastAsia" w:cstheme="minorEastAsia" w:hint="eastAsia"/>
                                  <w:sz w:val="32"/>
                                  <w:szCs w:val="32"/>
                                </w:rPr>
                                <w:fldChar w:fldCharType="begin"/>
                              </w:r>
                              <w:r>
                                <w:rPr>
                                  <w:rFonts w:asciiTheme="minorEastAsia" w:hAnsiTheme="minorEastAsia" w:cstheme="minorEastAsia" w:hint="eastAsia"/>
                                  <w:sz w:val="32"/>
                                  <w:szCs w:val="32"/>
                                </w:rPr>
                                <w:instrText xml:space="preserve"> PAGE   \* MERGEFORMAT </w:instrText>
                              </w:r>
                              <w:r>
                                <w:rPr>
                                  <w:rFonts w:asciiTheme="minorEastAsia" w:hAnsiTheme="minorEastAsia" w:cstheme="minorEastAsia" w:hint="eastAsia"/>
                                  <w:sz w:val="32"/>
                                  <w:szCs w:val="32"/>
                                </w:rPr>
                                <w:fldChar w:fldCharType="separate"/>
                              </w:r>
                              <w:r>
                                <w:rPr>
                                  <w:rFonts w:asciiTheme="minorEastAsia" w:hAnsiTheme="minorEastAsia" w:cstheme="minorEastAsia" w:hint="eastAsia"/>
                                  <w:sz w:val="32"/>
                                  <w:szCs w:val="32"/>
                                  <w:lang w:val="zh-CN"/>
                                </w:rPr>
                                <w:t>6</w:t>
                              </w:r>
                              <w:r>
                                <w:rPr>
                                  <w:rFonts w:asciiTheme="minorEastAsia" w:hAnsiTheme="minorEastAsia" w:cstheme="minorEastAsia" w:hint="eastAsia"/>
                                  <w:sz w:val="32"/>
                                  <w:szCs w:val="32"/>
                                </w:rPr>
                                <w:fldChar w:fldCharType="end"/>
                              </w:r>
                            </w:p>
                          </w:sdtContent>
                        </w:sdt>
                        <w:p w14:paraId="7AFD49C0" w14:textId="77777777" w:rsidR="00EA7D61" w:rsidRDefault="00EA7D61"/>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5DDEC38"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sdt>
                    <w:sdtPr>
                      <w:id w:val="7611235"/>
                    </w:sdtPr>
                    <w:sdtEndPr/>
                    <w:sdtContent>
                      <w:p w14:paraId="293896C8" w14:textId="77777777" w:rsidR="00EA7D61" w:rsidRDefault="005521B8">
                        <w:pPr>
                          <w:pStyle w:val="a3"/>
                          <w:jc w:val="center"/>
                        </w:pPr>
                        <w:r>
                          <w:rPr>
                            <w:rFonts w:asciiTheme="minorEastAsia" w:hAnsiTheme="minorEastAsia" w:cstheme="minorEastAsia" w:hint="eastAsia"/>
                            <w:sz w:val="32"/>
                            <w:szCs w:val="32"/>
                          </w:rPr>
                          <w:fldChar w:fldCharType="begin"/>
                        </w:r>
                        <w:r>
                          <w:rPr>
                            <w:rFonts w:asciiTheme="minorEastAsia" w:hAnsiTheme="minorEastAsia" w:cstheme="minorEastAsia" w:hint="eastAsia"/>
                            <w:sz w:val="32"/>
                            <w:szCs w:val="32"/>
                          </w:rPr>
                          <w:instrText xml:space="preserve"> PAGE   \* MERGEFORMAT </w:instrText>
                        </w:r>
                        <w:r>
                          <w:rPr>
                            <w:rFonts w:asciiTheme="minorEastAsia" w:hAnsiTheme="minorEastAsia" w:cstheme="minorEastAsia" w:hint="eastAsia"/>
                            <w:sz w:val="32"/>
                            <w:szCs w:val="32"/>
                          </w:rPr>
                          <w:fldChar w:fldCharType="separate"/>
                        </w:r>
                        <w:r>
                          <w:rPr>
                            <w:rFonts w:asciiTheme="minorEastAsia" w:hAnsiTheme="minorEastAsia" w:cstheme="minorEastAsia" w:hint="eastAsia"/>
                            <w:sz w:val="32"/>
                            <w:szCs w:val="32"/>
                            <w:lang w:val="zh-CN"/>
                          </w:rPr>
                          <w:t>6</w:t>
                        </w:r>
                        <w:r>
                          <w:rPr>
                            <w:rFonts w:asciiTheme="minorEastAsia" w:hAnsiTheme="minorEastAsia" w:cstheme="minorEastAsia" w:hint="eastAsia"/>
                            <w:sz w:val="32"/>
                            <w:szCs w:val="32"/>
                          </w:rPr>
                          <w:fldChar w:fldCharType="end"/>
                        </w:r>
                      </w:p>
                    </w:sdtContent>
                  </w:sdt>
                  <w:p w14:paraId="7AFD49C0" w14:textId="77777777" w:rsidR="00EA7D61" w:rsidRDefault="00EA7D61"/>
                </w:txbxContent>
              </v:textbox>
              <w10:wrap anchorx="margin"/>
            </v:shape>
          </w:pict>
        </mc:Fallback>
      </mc:AlternateContent>
    </w:r>
  </w:p>
  <w:p w14:paraId="062B0F91" w14:textId="77777777" w:rsidR="00EA7D61" w:rsidRDefault="00EA7D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086E2" w14:textId="77777777" w:rsidR="00CE0217" w:rsidRDefault="005521B8">
      <w:r>
        <w:separator/>
      </w:r>
    </w:p>
  </w:footnote>
  <w:footnote w:type="continuationSeparator" w:id="0">
    <w:p w14:paraId="6520CBCA" w14:textId="77777777" w:rsidR="00CE0217" w:rsidRDefault="00552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928C9"/>
    <w:multiLevelType w:val="multilevel"/>
    <w:tmpl w:val="528928C9"/>
    <w:lvl w:ilvl="0">
      <w:start w:val="1"/>
      <w:numFmt w:val="decimal"/>
      <w:lvlText w:val="%1."/>
      <w:lvlJc w:val="left"/>
      <w:pPr>
        <w:ind w:left="987" w:hanging="360"/>
      </w:pPr>
      <w:rPr>
        <w:rFonts w:hint="default"/>
      </w:rPr>
    </w:lvl>
    <w:lvl w:ilvl="1">
      <w:start w:val="1"/>
      <w:numFmt w:val="lowerLetter"/>
      <w:lvlText w:val="%2)"/>
      <w:lvlJc w:val="left"/>
      <w:pPr>
        <w:ind w:left="1587" w:hanging="480"/>
      </w:pPr>
    </w:lvl>
    <w:lvl w:ilvl="2">
      <w:start w:val="1"/>
      <w:numFmt w:val="lowerRoman"/>
      <w:lvlText w:val="%3."/>
      <w:lvlJc w:val="right"/>
      <w:pPr>
        <w:ind w:left="2067" w:hanging="480"/>
      </w:pPr>
    </w:lvl>
    <w:lvl w:ilvl="3">
      <w:start w:val="1"/>
      <w:numFmt w:val="decimal"/>
      <w:lvlText w:val="%4."/>
      <w:lvlJc w:val="left"/>
      <w:pPr>
        <w:ind w:left="2547" w:hanging="480"/>
      </w:pPr>
    </w:lvl>
    <w:lvl w:ilvl="4">
      <w:start w:val="1"/>
      <w:numFmt w:val="lowerLetter"/>
      <w:lvlText w:val="%5)"/>
      <w:lvlJc w:val="left"/>
      <w:pPr>
        <w:ind w:left="3027" w:hanging="480"/>
      </w:pPr>
    </w:lvl>
    <w:lvl w:ilvl="5">
      <w:start w:val="1"/>
      <w:numFmt w:val="lowerRoman"/>
      <w:lvlText w:val="%6."/>
      <w:lvlJc w:val="right"/>
      <w:pPr>
        <w:ind w:left="3507" w:hanging="480"/>
      </w:pPr>
    </w:lvl>
    <w:lvl w:ilvl="6">
      <w:start w:val="1"/>
      <w:numFmt w:val="decimal"/>
      <w:lvlText w:val="%7."/>
      <w:lvlJc w:val="left"/>
      <w:pPr>
        <w:ind w:left="3987" w:hanging="480"/>
      </w:pPr>
    </w:lvl>
    <w:lvl w:ilvl="7">
      <w:start w:val="1"/>
      <w:numFmt w:val="lowerLetter"/>
      <w:lvlText w:val="%8)"/>
      <w:lvlJc w:val="left"/>
      <w:pPr>
        <w:ind w:left="4467" w:hanging="480"/>
      </w:pPr>
    </w:lvl>
    <w:lvl w:ilvl="8">
      <w:start w:val="1"/>
      <w:numFmt w:val="lowerRoman"/>
      <w:lvlText w:val="%9."/>
      <w:lvlJc w:val="right"/>
      <w:pPr>
        <w:ind w:left="494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enforcement="0"/>
  <w:defaultTabStop w:val="420"/>
  <w:drawingGridHorizontalSpacing w:val="102"/>
  <w:drawingGridVerticalSpacing w:val="144"/>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B12102A"/>
    <w:rsid w:val="00435BF2"/>
    <w:rsid w:val="005521B8"/>
    <w:rsid w:val="00CE0217"/>
    <w:rsid w:val="00EA7D61"/>
    <w:rsid w:val="00F91A0A"/>
    <w:rsid w:val="03254B7A"/>
    <w:rsid w:val="05F0110E"/>
    <w:rsid w:val="0ABB0547"/>
    <w:rsid w:val="0B7E64CE"/>
    <w:rsid w:val="0BCC5853"/>
    <w:rsid w:val="0D246888"/>
    <w:rsid w:val="0E173D1D"/>
    <w:rsid w:val="101355CB"/>
    <w:rsid w:val="1C4728F7"/>
    <w:rsid w:val="1FA409D9"/>
    <w:rsid w:val="202C054F"/>
    <w:rsid w:val="214B5BE3"/>
    <w:rsid w:val="21634367"/>
    <w:rsid w:val="252B59DC"/>
    <w:rsid w:val="26A60EEA"/>
    <w:rsid w:val="2A455649"/>
    <w:rsid w:val="2C106FB9"/>
    <w:rsid w:val="2C23504A"/>
    <w:rsid w:val="315161CB"/>
    <w:rsid w:val="35C81A03"/>
    <w:rsid w:val="40247867"/>
    <w:rsid w:val="41260710"/>
    <w:rsid w:val="41B0696B"/>
    <w:rsid w:val="45483BA0"/>
    <w:rsid w:val="49B05FF0"/>
    <w:rsid w:val="4C0F620B"/>
    <w:rsid w:val="4C2209D1"/>
    <w:rsid w:val="5007625F"/>
    <w:rsid w:val="54BC134C"/>
    <w:rsid w:val="57A64AA6"/>
    <w:rsid w:val="5A737A3E"/>
    <w:rsid w:val="5FF034F3"/>
    <w:rsid w:val="61961416"/>
    <w:rsid w:val="63166BD8"/>
    <w:rsid w:val="67E37563"/>
    <w:rsid w:val="688D068C"/>
    <w:rsid w:val="689E0E05"/>
    <w:rsid w:val="6AD25B10"/>
    <w:rsid w:val="6B12102A"/>
    <w:rsid w:val="72572D22"/>
    <w:rsid w:val="79DD09BA"/>
    <w:rsid w:val="7D5D5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686BF"/>
  <w15:docId w15:val="{233FD608-24DD-4EA9-8B18-EC4B8CF3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王梦婷</dc:creator>
  <cp:lastModifiedBy>wmt1810@qq.com</cp:lastModifiedBy>
  <cp:revision>3</cp:revision>
  <dcterms:created xsi:type="dcterms:W3CDTF">2021-03-10T02:11:00Z</dcterms:created>
  <dcterms:modified xsi:type="dcterms:W3CDTF">2021-03-24T07:29:00Z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