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tabs>
          <w:tab w:val="clear" w:pos="0"/>
        </w:tabs>
        <w:spacing w:before="0" w:after="0" w:line="600" w:lineRule="exact"/>
        <w:jc w:val="center"/>
        <w:rPr>
          <w:rFonts w:eastAsia="方正小标宋简体" w:cs="Times New Roman"/>
          <w:color w:val="000000" w:themeColor="text1"/>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四川省市场监督管理局</w:t>
      </w:r>
    </w:p>
    <w:p>
      <w:pPr>
        <w:pStyle w:val="2"/>
        <w:keepNext w:val="0"/>
        <w:tabs>
          <w:tab w:val="clear" w:pos="0"/>
        </w:tabs>
        <w:spacing w:before="0" w:after="0" w:line="600" w:lineRule="exact"/>
        <w:jc w:val="center"/>
        <w:rPr>
          <w:rFonts w:eastAsia="方正小标宋简体" w:cs="Times New Roman"/>
          <w:color w:val="000000" w:themeColor="text1"/>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行政处罚决定书</w:t>
      </w:r>
    </w:p>
    <w:p>
      <w:pPr>
        <w:pStyle w:val="2"/>
        <w:keepNext w:val="0"/>
        <w:tabs>
          <w:tab w:val="left" w:pos="420"/>
          <w:tab w:val="clear" w:pos="0"/>
        </w:tabs>
        <w:spacing w:before="156" w:after="0" w:line="640" w:lineRule="exact"/>
        <w:jc w:val="center"/>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川</w:t>
      </w:r>
      <w:r>
        <w:rPr>
          <w:rFonts w:cs="Times New Roman"/>
          <w:color w:val="000000" w:themeColor="text1"/>
          <w:kern w:val="0"/>
          <w:szCs w:val="32"/>
          <w14:textFill>
            <w14:solidFill>
              <w14:schemeClr w14:val="tx1"/>
            </w14:solidFill>
          </w14:textFill>
        </w:rPr>
        <w:t>市监处〔2020〕29号</w:t>
      </w:r>
    </w:p>
    <w:p>
      <w:pPr>
        <w:shd w:val="clear" w:color="auto" w:fill="FFFFFF"/>
        <w:ind w:left="150" w:right="150"/>
        <w:rPr>
          <w:rFonts w:ascii="Times New Roman" w:hAnsi="Times New Roman" w:eastAsia="微软雅黑" w:cs="Times New Roman"/>
          <w:color w:val="333333"/>
          <w:kern w:val="0"/>
          <w:sz w:val="30"/>
          <w:szCs w:val="30"/>
        </w:rPr>
      </w:pPr>
    </w:p>
    <w:p>
      <w:pPr>
        <w:ind w:firstLine="640" w:firstLineChars="200"/>
        <w:rPr>
          <w:rFonts w:ascii="Times New Roman" w:hAnsi="Times New Roman" w:eastAsia="方正黑体简体" w:cs="Times New Roman"/>
          <w:bCs/>
          <w:color w:val="000000" w:themeColor="text1"/>
          <w:sz w:val="32"/>
          <w:szCs w:val="32"/>
          <w14:textFill>
            <w14:solidFill>
              <w14:schemeClr w14:val="tx1"/>
            </w14:solidFill>
          </w14:textFill>
        </w:rPr>
      </w:pPr>
      <w:r>
        <w:rPr>
          <w:rFonts w:ascii="Times New Roman" w:hAnsi="Times New Roman" w:eastAsia="方正黑体简体" w:cs="Times New Roman"/>
          <w:bCs/>
          <w:color w:val="000000" w:themeColor="text1"/>
          <w:sz w:val="32"/>
          <w:szCs w:val="32"/>
          <w14:textFill>
            <w14:solidFill>
              <w14:schemeClr w14:val="tx1"/>
            </w14:solidFill>
          </w14:textFill>
        </w:rPr>
        <w:t>一、当事人情况</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当事人：四川峨眉山佛光水泥有限公司</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统一社会信用代码：91511181207461920C</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类型：有限责任公司（自然人投资或控股）</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住所：峨眉山市乐都镇顺江村</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法定代表人：杨水云</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经营范围：水泥制造、销售；水泥生产技术咨询、技术服务；企业管理咨询；地产投资；矿产品、建筑材料、有色金属、五金、交电、化工原料（除危险化学品）、混凝土添加剂、机械电子设备及零配件、橡胶制品、矿山机电产品销售。（依法须经批准的项目，经相关部门批准方可开展经营活动）</w:t>
      </w:r>
    </w:p>
    <w:p>
      <w:pPr>
        <w:ind w:firstLine="640" w:firstLineChars="200"/>
        <w:rPr>
          <w:rFonts w:ascii="Times New Roman" w:hAnsi="Times New Roman" w:eastAsia="方正黑体简体" w:cs="Times New Roman"/>
          <w:bCs/>
          <w:color w:val="000000" w:themeColor="text1"/>
          <w:sz w:val="32"/>
          <w:szCs w:val="32"/>
          <w14:textFill>
            <w14:solidFill>
              <w14:schemeClr w14:val="tx1"/>
            </w14:solidFill>
          </w14:textFill>
        </w:rPr>
      </w:pPr>
      <w:r>
        <w:rPr>
          <w:rFonts w:ascii="Times New Roman" w:hAnsi="Times New Roman" w:eastAsia="方正黑体简体" w:cs="Times New Roman"/>
          <w:bCs/>
          <w:color w:val="000000" w:themeColor="text1"/>
          <w:sz w:val="32"/>
          <w:szCs w:val="32"/>
          <w14:textFill>
            <w14:solidFill>
              <w14:schemeClr w14:val="tx1"/>
            </w14:solidFill>
          </w14:textFill>
        </w:rPr>
        <w:t>二、案件来源及调查经过</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本机关现查明当事人与其他五家具有竞争关系的水泥经营者在四川省水泥协会的组织和推动下，达成并实施了垄断协议，于2020年12月22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ind w:firstLine="640" w:firstLineChars="200"/>
        <w:rPr>
          <w:rFonts w:ascii="Times New Roman" w:hAnsi="Times New Roman" w:eastAsia="方正黑体简体" w:cs="Times New Roman"/>
          <w:bCs/>
          <w:color w:val="000000" w:themeColor="text1"/>
          <w:sz w:val="32"/>
          <w:szCs w:val="32"/>
          <w14:textFill>
            <w14:solidFill>
              <w14:schemeClr w14:val="tx1"/>
            </w14:solidFill>
          </w14:textFill>
        </w:rPr>
      </w:pPr>
      <w:r>
        <w:rPr>
          <w:rFonts w:ascii="Times New Roman" w:hAnsi="Times New Roman" w:eastAsia="方正黑体简体" w:cs="Times New Roman"/>
          <w:bCs/>
          <w:color w:val="000000" w:themeColor="text1"/>
          <w:sz w:val="32"/>
          <w:szCs w:val="32"/>
          <w14:textFill>
            <w14:solidFill>
              <w14:schemeClr w14:val="tx1"/>
            </w14:solidFill>
          </w14:textFill>
        </w:rPr>
        <w:t>三、违法事实及相关证据</w:t>
      </w:r>
    </w:p>
    <w:p>
      <w:pPr>
        <w:ind w:firstLine="643" w:firstLineChars="200"/>
        <w:rPr>
          <w:rFonts w:ascii="Times New Roman" w:hAnsi="Times New Roman" w:eastAsia="方正楷体简体" w:cs="Times New Roman"/>
          <w:b/>
          <w:bCs/>
          <w:color w:val="000000" w:themeColor="text1"/>
          <w:kern w:val="0"/>
          <w:sz w:val="32"/>
          <w:szCs w:val="32"/>
          <w14:textFill>
            <w14:solidFill>
              <w14:schemeClr w14:val="tx1"/>
            </w14:solidFill>
          </w14:textFill>
        </w:rPr>
      </w:pPr>
      <w:r>
        <w:rPr>
          <w:rFonts w:ascii="Times New Roman" w:hAnsi="Times New Roman" w:eastAsia="方正楷体简体" w:cs="Times New Roman"/>
          <w:b/>
          <w:bCs/>
          <w:color w:val="000000" w:themeColor="text1"/>
          <w:kern w:val="0"/>
          <w:sz w:val="32"/>
          <w:szCs w:val="32"/>
          <w14:textFill>
            <w14:solidFill>
              <w14:schemeClr w14:val="tx1"/>
            </w14:solidFill>
          </w14:textFill>
        </w:rPr>
        <w:t>（一）当事人在四川省水泥协会组织下与具有竞争关系的经营者达成“固定或者变更商品价格”的垄断协议</w:t>
      </w:r>
    </w:p>
    <w:p>
      <w:pPr>
        <w:pStyle w:val="9"/>
        <w:widowControl w:val="0"/>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现查明，当事人和其他涉案五家水泥经营者：四川西南水泥有限公司、四川峨胜水泥股份有限公司、四川亚东水泥有限公司、四川双马水泥股份有限公司及四川省星船城水泥股份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pStyle w:val="2"/>
        <w:keepNext w:val="0"/>
        <w:spacing w:before="0" w:after="0"/>
        <w:ind w:firstLine="640" w:firstLineChars="200"/>
        <w:jc w:val="both"/>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2016年10月11日，四川省水泥协会组织六家经营者“四川西南、峨胜、亚东（兰丰）、四川双马、星船城、佛光”在成都市召开“十月份复价减亏工作推进会”，</w:t>
      </w:r>
      <w:r>
        <w:rPr>
          <w:rFonts w:cs="Times New Roman"/>
          <w:color w:val="auto"/>
          <w:szCs w:val="32"/>
        </w:rPr>
        <w:t>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w:t>
      </w:r>
      <w:r>
        <w:rPr>
          <w:rFonts w:cs="Times New Roman"/>
          <w:color w:val="000000" w:themeColor="text1"/>
          <w:szCs w:val="32"/>
          <w14:textFill>
            <w14:solidFill>
              <w14:schemeClr w14:val="tx1"/>
            </w14:solidFill>
          </w14:textFill>
        </w:rPr>
        <w:t>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ind w:firstLine="643" w:firstLineChars="200"/>
        <w:rPr>
          <w:rFonts w:ascii="Times New Roman" w:hAnsi="Times New Roman" w:eastAsia="方正楷体简体" w:cs="Times New Roman"/>
          <w:b/>
          <w:bCs/>
          <w:color w:val="000000" w:themeColor="text1"/>
          <w:kern w:val="0"/>
          <w:sz w:val="32"/>
          <w:szCs w:val="32"/>
          <w14:textFill>
            <w14:solidFill>
              <w14:schemeClr w14:val="tx1"/>
            </w14:solidFill>
          </w14:textFill>
        </w:rPr>
      </w:pPr>
      <w:r>
        <w:rPr>
          <w:rFonts w:ascii="Times New Roman" w:hAnsi="Times New Roman" w:eastAsia="方正楷体简体" w:cs="Times New Roman"/>
          <w:b/>
          <w:bCs/>
          <w:color w:val="000000" w:themeColor="text1"/>
          <w:kern w:val="0"/>
          <w:sz w:val="32"/>
          <w:szCs w:val="32"/>
          <w14:textFill>
            <w14:solidFill>
              <w14:schemeClr w14:val="tx1"/>
            </w14:solidFill>
          </w14:textFill>
        </w:rPr>
        <w:t>（二）当事人实施了上述垄断协议</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垄断协议订立后，四川省水泥协会即组织六家涉案经营者着手实施，第一步，</w:t>
      </w:r>
      <w:r>
        <w:rPr>
          <w:rFonts w:ascii="Times New Roman" w:hAnsi="Times New Roman" w:eastAsia="方正仿宋简体" w:cs="Times New Roman"/>
          <w:sz w:val="32"/>
          <w:szCs w:val="32"/>
        </w:rPr>
        <w:t>当事人</w:t>
      </w:r>
      <w:r>
        <w:rPr>
          <w:rFonts w:ascii="Times New Roman" w:hAnsi="Times New Roman" w:eastAsia="方正仿宋简体" w:cs="Times New Roman"/>
          <w:color w:val="000000" w:themeColor="text1"/>
          <w:sz w:val="32"/>
          <w:szCs w:val="32"/>
          <w14:textFill>
            <w14:solidFill>
              <w14:schemeClr w14:val="tx1"/>
            </w14:solidFill>
          </w14:textFill>
        </w:rPr>
        <w:t>于2016年10月13日向客户发出《水泥调价通知》（佛水销</w:t>
      </w:r>
      <w:r>
        <w:rPr>
          <w:rFonts w:ascii="Times New Roman" w:hAnsi="Times New Roman" w:eastAsia="宋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2016</w:t>
      </w:r>
      <w:r>
        <w:rPr>
          <w:rFonts w:ascii="Times New Roman" w:hAnsi="Times New Roman" w:eastAsia="宋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7号），告知客户将于2016年10月17日8:00起，对“佛光”牌所有散装水泥出厂单价在原基础上每吨上调伍拾元整（50元/吨）；第二步，按照垄断协议的约定，包括当事人在内的六家水泥经营者自10月17日起，陆续对各自下游客户实际上调散装水泥价格50元/吨。</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2016年10月19日，四川省水泥协会在绵阳举行2016年十月份水泥企业座谈会议,会上总结了10月17日散装水泥涨价的实施成果并形成了巩固涨价相关措施的会议决议。</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上述事实，主要有以下证据证明：</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证据组三：当事人及其他五家涉案水泥企业向客户发出的调价文件复印件、当事人工作人员的询问笔录、《四川省水泥协会2016年十月份水泥企业座谈会议纪要》，证明包括当事人在内的六家水泥经营者在四川省水泥协会组织下变更商品价格、实施垄断协议的事实。</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证据组五：《四川省水泥协会2017年年会暨三届三次理事会议纪要》，证明协会制定含有排除、限制竞争内容的规则的事实。</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证据组六：四川峨眉山佛光水泥有限公司《关于提供要求资料的情况汇报》（含《2016年度成都区域散装水泥汇总表》、《2016年10月17日起散装水泥上调50元/吨销售明细表》），证明当事人实施垄断协议的事实，及2016年度相关销售财务数据。</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以上有关证据，已由当事人或相关责任人签字或盖章确认并查证属实。</w:t>
      </w:r>
    </w:p>
    <w:p>
      <w:pPr>
        <w:ind w:firstLine="640" w:firstLineChars="200"/>
        <w:rPr>
          <w:rFonts w:ascii="Times New Roman" w:hAnsi="Times New Roman" w:eastAsia="方正黑体简体" w:cs="Times New Roman"/>
          <w:bCs/>
          <w:color w:val="000000" w:themeColor="text1"/>
          <w:sz w:val="32"/>
          <w:szCs w:val="32"/>
          <w14:textFill>
            <w14:solidFill>
              <w14:schemeClr w14:val="tx1"/>
            </w14:solidFill>
          </w14:textFill>
        </w:rPr>
      </w:pPr>
      <w:r>
        <w:rPr>
          <w:rFonts w:ascii="Times New Roman" w:hAnsi="Times New Roman" w:eastAsia="方正黑体简体" w:cs="Times New Roman"/>
          <w:bCs/>
          <w:color w:val="000000" w:themeColor="text1"/>
          <w:sz w:val="32"/>
          <w:szCs w:val="32"/>
          <w14:textFill>
            <w14:solidFill>
              <w14:schemeClr w14:val="tx1"/>
            </w14:solidFill>
          </w14:textFill>
        </w:rPr>
        <w:t>四、行政处罚依据及决定</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本机关认定，当事人与其他五家具有竞争关系的水泥经营者在四川省水泥协会的组织和推动下，对散装水泥产品涨价时间及幅度协商一致，统一上调散装水泥销售价格，该行为违反《中华人民共和国反垄断法》（以下简称《反垄断法》）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如下行政处罚：</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没收违法所得600469元，并处2016年度销售额1%的罚款296324元，以上罚没款共计896793元（大写：人民币捌拾玖万陆仟柒佰玖拾叁元）。</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当事人应当自收到本行政处罚决定书之日起十五日内，将罚没款缴至下述银行。根据《中华人民共和国行政处罚法》第五十一条规定，当事人逾期不履行行政处罚决定的，本机关可以采取以下措施：（一）到期不缴纳罚款的，每日按罚款数额的百分之三加处罚款；（二）申请人民法院强制执行。</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缴款银行：四川省建行锦城支行</w:t>
      </w:r>
    </w:p>
    <w:p>
      <w:pPr>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户　  名：四川省财政厅</w:t>
      </w:r>
    </w:p>
    <w:p>
      <w:pPr>
        <w:ind w:firstLine="640" w:firstLineChars="200"/>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帐　  号：</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略</w:t>
      </w:r>
    </w:p>
    <w:p>
      <w:pPr>
        <w:pStyle w:val="9"/>
        <w:widowControl w:val="0"/>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themeColor="text1"/>
          <w:sz w:val="32"/>
          <w:szCs w:val="32"/>
          <w14:textFill>
            <w14:solidFill>
              <w14:schemeClr w14:val="tx1"/>
            </w14:solidFill>
          </w14:textFill>
        </w:rPr>
        <w:t>当事人如对上述行政处罚决定不服，可以自收到本行政处罚决定书之日起六十日内向国家市场监督管理总局或者四川省人民政府申请行政复议；或者自收到本行政处罚决定书之日起六个</w:t>
      </w:r>
      <w:r>
        <w:rPr>
          <w:rFonts w:ascii="Times New Roman" w:hAnsi="Times New Roman" w:eastAsia="方正仿宋简体" w:cs="Times New Roman"/>
          <w:sz w:val="32"/>
          <w:szCs w:val="32"/>
        </w:rPr>
        <w:t>月内，依法向人民法院提起</w:t>
      </w:r>
      <w:bookmarkStart w:id="0" w:name="_GoBack"/>
      <w:bookmarkEnd w:id="0"/>
      <w:r>
        <w:rPr>
          <w:rFonts w:ascii="Times New Roman" w:hAnsi="Times New Roman" w:eastAsia="方正仿宋简体" w:cs="Times New Roman"/>
          <w:sz w:val="32"/>
          <w:szCs w:val="32"/>
        </w:rPr>
        <w:t>行政诉讼。行政复议或者行政诉讼期间，本行政处罚决定不停止执行。</w:t>
      </w:r>
    </w:p>
    <w:p>
      <w:pPr>
        <w:shd w:val="clear" w:color="auto" w:fill="FFFFFF"/>
        <w:ind w:right="150" w:firstLine="200"/>
        <w:rPr>
          <w:rFonts w:ascii="Times New Roman" w:hAnsi="Times New Roman" w:eastAsia="方正仿宋简体" w:cs="Times New Roman"/>
          <w:sz w:val="32"/>
          <w:szCs w:val="32"/>
        </w:rPr>
      </w:pPr>
    </w:p>
    <w:p>
      <w:pPr>
        <w:shd w:val="clear" w:color="auto" w:fill="FFFFFF"/>
        <w:ind w:right="150" w:firstLine="200"/>
        <w:rPr>
          <w:rFonts w:ascii="Times New Roman" w:hAnsi="Times New Roman" w:eastAsia="方正仿宋简体" w:cs="Times New Roman"/>
          <w:sz w:val="32"/>
          <w:szCs w:val="32"/>
        </w:rPr>
      </w:pPr>
    </w:p>
    <w:p>
      <w:pPr>
        <w:shd w:val="clear" w:color="auto" w:fill="FFFFFF"/>
        <w:ind w:right="150" w:firstLine="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四川省市场监督管理局</w:t>
      </w:r>
    </w:p>
    <w:p>
      <w:pPr>
        <w:shd w:val="clear" w:color="auto" w:fill="FFFFFF"/>
        <w:ind w:right="150" w:firstLine="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2020年12月28日</w:t>
      </w:r>
    </w:p>
    <w:p>
      <w:pPr>
        <w:shd w:val="clear" w:color="auto" w:fill="FFFFFF"/>
        <w:ind w:right="150"/>
        <w:rPr>
          <w:rFonts w:ascii="Times New Roman" w:hAnsi="Times New Roman" w:eastAsia="仿宋_GB2312" w:cs="Times New Roman"/>
          <w:sz w:val="32"/>
          <w:szCs w:val="32"/>
        </w:rPr>
      </w:pPr>
    </w:p>
    <w:p>
      <w:pPr>
        <w:shd w:val="clear" w:color="auto" w:fill="FFFFFF"/>
        <w:ind w:right="150"/>
        <w:rPr>
          <w:rFonts w:ascii="Times New Roman" w:hAnsi="Times New Roman" w:eastAsia="仿宋_GB2312" w:cs="Times New Roman"/>
          <w:sz w:val="32"/>
          <w:szCs w:val="32"/>
        </w:rPr>
      </w:pPr>
    </w:p>
    <w:p>
      <w:pPr>
        <w:shd w:val="clear" w:color="auto" w:fill="FFFFFF"/>
        <w:ind w:right="150"/>
        <w:rPr>
          <w:rFonts w:ascii="Times New Roman" w:hAnsi="Times New Roman" w:eastAsia="仿宋_GB2312" w:cs="Times New Roman"/>
          <w:sz w:val="32"/>
          <w:szCs w:val="32"/>
        </w:rPr>
      </w:pPr>
    </w:p>
    <w:p>
      <w:pPr>
        <w:shd w:val="clear" w:color="auto" w:fill="FFFFFF"/>
        <w:spacing w:line="240" w:lineRule="exact"/>
        <w:ind w:right="147"/>
        <w:rPr>
          <w:rFonts w:ascii="Times New Roman" w:hAnsi="Times New Roman" w:eastAsia="仿宋_GB2312" w:cs="Times New Roman"/>
          <w:sz w:val="32"/>
          <w:szCs w:val="32"/>
        </w:rPr>
      </w:pPr>
    </w:p>
    <w:p>
      <w:pPr>
        <w:shd w:val="clear" w:color="auto" w:fill="FFFFFF"/>
        <w:spacing w:before="150" w:after="150"/>
        <w:ind w:right="675"/>
        <w:rPr>
          <w:rFonts w:ascii="Times New Roman" w:hAnsi="Times New Roman" w:eastAsia="方正黑体简体" w:cs="Times New Roman"/>
          <w:color w:val="000000" w:themeColor="text1"/>
          <w:kern w:val="0"/>
          <w:sz w:val="28"/>
          <w:szCs w:val="28"/>
          <w14:textFill>
            <w14:solidFill>
              <w14:schemeClr w14:val="tx1"/>
            </w14:solidFill>
          </w14:textFill>
        </w:rPr>
      </w:pPr>
      <w:r>
        <w:rPr>
          <w:rFonts w:ascii="Times New Roman" w:hAnsi="Times New Roman" w:eastAsia="方正黑体简体" w:cs="Times New Roman"/>
          <w:color w:val="000000" w:themeColor="text1"/>
          <w:kern w:val="0"/>
          <w:sz w:val="28"/>
          <w:szCs w:val="28"/>
          <w14:textFill>
            <w14:solidFill>
              <w14:schemeClr w14:val="tx1"/>
            </w14:solidFill>
          </w14:textFill>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jc w:val="left"/>
              <w:rPr>
                <w:rFonts w:ascii="Times New Roman" w:hAnsi="Times New Roman" w:eastAsia="方正仿宋简体" w:cs="Times New Roman"/>
                <w:color w:val="333333"/>
                <w:kern w:val="0"/>
                <w:sz w:val="24"/>
                <w:szCs w:val="24"/>
              </w:rPr>
            </w:pPr>
          </w:p>
        </w:tc>
      </w:tr>
    </w:tbl>
    <w:p>
      <w:pPr>
        <w:shd w:val="clear" w:color="auto" w:fill="FFFFFF"/>
        <w:ind w:right="150" w:firstLine="140" w:firstLineChars="50"/>
        <w:jc w:val="left"/>
        <w:rPr>
          <w:rFonts w:ascii="Times New Roman" w:hAnsi="Times New Roman" w:eastAsia="方正仿宋简体" w:cs="Times New Roman"/>
          <w:color w:val="333333"/>
          <w:kern w:val="0"/>
          <w:sz w:val="28"/>
          <w:szCs w:val="28"/>
        </w:rPr>
      </w:pPr>
      <w:r>
        <w:rPr>
          <w:rFonts w:ascii="Times New Roman" w:hAnsi="Times New Roman" w:eastAsia="方正仿宋简体" w:cs="Times New Roman"/>
          <w:color w:val="333333"/>
          <w:kern w:val="0"/>
          <w:sz w:val="28"/>
          <w:szCs w:val="28"/>
        </w:rPr>
        <w:t>本文书一式三份，一份送达，一份归档，一份办案机构留存。</w:t>
      </w:r>
    </w:p>
    <w:sectPr>
      <w:footerReference r:id="rId3" w:type="default"/>
      <w:footerReference r:id="rId4" w:type="even"/>
      <w:pgSz w:w="11906" w:h="16838"/>
      <w:pgMar w:top="1871" w:right="1361" w:bottom="1701" w:left="1588"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9937"/>
      <w:docPartObj>
        <w:docPartGallery w:val="AutoText"/>
      </w:docPartObj>
    </w:sdtPr>
    <w:sdtEndPr>
      <w:rPr>
        <w:rFonts w:asciiTheme="majorEastAsia" w:hAnsiTheme="majorEastAsia" w:eastAsiaTheme="majorEastAsia"/>
        <w:sz w:val="24"/>
        <w:szCs w:val="24"/>
      </w:rPr>
    </w:sdtEndPr>
    <w:sdtContent>
      <w:p>
        <w:pPr>
          <w:pStyle w:val="3"/>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910272"/>
      <w:docPartObj>
        <w:docPartGallery w:val="AutoText"/>
      </w:docPartObj>
    </w:sdtPr>
    <w:sdtEndPr>
      <w:rPr>
        <w:rFonts w:asciiTheme="majorEastAsia" w:hAnsiTheme="majorEastAsia" w:eastAsiaTheme="majorEastAsia"/>
        <w:sz w:val="24"/>
        <w:szCs w:val="24"/>
      </w:rPr>
    </w:sdtEndPr>
    <w:sdtContent>
      <w:p>
        <w:pPr>
          <w:pStyle w:val="3"/>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8 -</w:t>
        </w:r>
        <w:r>
          <w:rPr>
            <w:rFonts w:asciiTheme="majorEastAsia" w:hAnsiTheme="majorEastAsia" w:eastAsiaTheme="maj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62"/>
    <w:rsid w:val="0000717E"/>
    <w:rsid w:val="00007F8A"/>
    <w:rsid w:val="000261E5"/>
    <w:rsid w:val="000272CE"/>
    <w:rsid w:val="00054D62"/>
    <w:rsid w:val="00060034"/>
    <w:rsid w:val="000703C9"/>
    <w:rsid w:val="000746D6"/>
    <w:rsid w:val="0008248F"/>
    <w:rsid w:val="00096D65"/>
    <w:rsid w:val="000A6890"/>
    <w:rsid w:val="000C4824"/>
    <w:rsid w:val="000D73A8"/>
    <w:rsid w:val="000E70E4"/>
    <w:rsid w:val="000F3D7A"/>
    <w:rsid w:val="000F4522"/>
    <w:rsid w:val="00101BE0"/>
    <w:rsid w:val="00133957"/>
    <w:rsid w:val="00141CD3"/>
    <w:rsid w:val="001660E2"/>
    <w:rsid w:val="00175D03"/>
    <w:rsid w:val="001B6611"/>
    <w:rsid w:val="001C1AF6"/>
    <w:rsid w:val="001C3186"/>
    <w:rsid w:val="001C5EE5"/>
    <w:rsid w:val="001C60AD"/>
    <w:rsid w:val="001C7256"/>
    <w:rsid w:val="002040F3"/>
    <w:rsid w:val="00213445"/>
    <w:rsid w:val="002440B7"/>
    <w:rsid w:val="0025701A"/>
    <w:rsid w:val="003311C3"/>
    <w:rsid w:val="00351192"/>
    <w:rsid w:val="00354D99"/>
    <w:rsid w:val="003765F0"/>
    <w:rsid w:val="00381E46"/>
    <w:rsid w:val="003B374C"/>
    <w:rsid w:val="003D2906"/>
    <w:rsid w:val="003E04DF"/>
    <w:rsid w:val="003E7357"/>
    <w:rsid w:val="003F4647"/>
    <w:rsid w:val="00407ADC"/>
    <w:rsid w:val="00422288"/>
    <w:rsid w:val="00422B2C"/>
    <w:rsid w:val="00423766"/>
    <w:rsid w:val="00424389"/>
    <w:rsid w:val="00427CFF"/>
    <w:rsid w:val="00451DD9"/>
    <w:rsid w:val="00487C9D"/>
    <w:rsid w:val="00493791"/>
    <w:rsid w:val="004A27B2"/>
    <w:rsid w:val="004D2834"/>
    <w:rsid w:val="004D6F8F"/>
    <w:rsid w:val="004E1958"/>
    <w:rsid w:val="004F2B14"/>
    <w:rsid w:val="005152E3"/>
    <w:rsid w:val="00520FF8"/>
    <w:rsid w:val="00533325"/>
    <w:rsid w:val="00571D1C"/>
    <w:rsid w:val="00592B69"/>
    <w:rsid w:val="005A47BB"/>
    <w:rsid w:val="005C155A"/>
    <w:rsid w:val="005E75F9"/>
    <w:rsid w:val="00607E4C"/>
    <w:rsid w:val="0061018E"/>
    <w:rsid w:val="00610B63"/>
    <w:rsid w:val="0061451C"/>
    <w:rsid w:val="00615C23"/>
    <w:rsid w:val="00635E9E"/>
    <w:rsid w:val="00696EB4"/>
    <w:rsid w:val="006C6C8A"/>
    <w:rsid w:val="00786DF3"/>
    <w:rsid w:val="0079214A"/>
    <w:rsid w:val="007D280D"/>
    <w:rsid w:val="00805BC8"/>
    <w:rsid w:val="00843914"/>
    <w:rsid w:val="0084601D"/>
    <w:rsid w:val="00862839"/>
    <w:rsid w:val="008C596D"/>
    <w:rsid w:val="008C7C85"/>
    <w:rsid w:val="008D3C3E"/>
    <w:rsid w:val="008D7AB7"/>
    <w:rsid w:val="008D7C91"/>
    <w:rsid w:val="008F4C94"/>
    <w:rsid w:val="0090669A"/>
    <w:rsid w:val="009113C9"/>
    <w:rsid w:val="00977B8D"/>
    <w:rsid w:val="009923C1"/>
    <w:rsid w:val="009A1329"/>
    <w:rsid w:val="009A4313"/>
    <w:rsid w:val="009F61BC"/>
    <w:rsid w:val="009F74DB"/>
    <w:rsid w:val="00A011C9"/>
    <w:rsid w:val="00A0718A"/>
    <w:rsid w:val="00A27784"/>
    <w:rsid w:val="00A777AD"/>
    <w:rsid w:val="00A85D7F"/>
    <w:rsid w:val="00AC45DF"/>
    <w:rsid w:val="00AC6CC7"/>
    <w:rsid w:val="00AF071A"/>
    <w:rsid w:val="00B046C0"/>
    <w:rsid w:val="00B77B25"/>
    <w:rsid w:val="00BA3B30"/>
    <w:rsid w:val="00BB55F1"/>
    <w:rsid w:val="00BB69F6"/>
    <w:rsid w:val="00BE331C"/>
    <w:rsid w:val="00C14730"/>
    <w:rsid w:val="00C67317"/>
    <w:rsid w:val="00C76EF9"/>
    <w:rsid w:val="00C77642"/>
    <w:rsid w:val="00C96BE8"/>
    <w:rsid w:val="00CD69DC"/>
    <w:rsid w:val="00CF4FC5"/>
    <w:rsid w:val="00CF7833"/>
    <w:rsid w:val="00D11EAB"/>
    <w:rsid w:val="00D125B1"/>
    <w:rsid w:val="00D12D28"/>
    <w:rsid w:val="00D20010"/>
    <w:rsid w:val="00D33FA5"/>
    <w:rsid w:val="00D745A7"/>
    <w:rsid w:val="00DA684D"/>
    <w:rsid w:val="00DD731D"/>
    <w:rsid w:val="00E03D7C"/>
    <w:rsid w:val="00E042C0"/>
    <w:rsid w:val="00E25B46"/>
    <w:rsid w:val="00E33295"/>
    <w:rsid w:val="00E4620B"/>
    <w:rsid w:val="00E710B6"/>
    <w:rsid w:val="00E81CBB"/>
    <w:rsid w:val="00E8253E"/>
    <w:rsid w:val="00E96942"/>
    <w:rsid w:val="00EB6FCD"/>
    <w:rsid w:val="00EC2546"/>
    <w:rsid w:val="00EC2880"/>
    <w:rsid w:val="00EC5916"/>
    <w:rsid w:val="00ED5736"/>
    <w:rsid w:val="00EE43DB"/>
    <w:rsid w:val="00EF53D8"/>
    <w:rsid w:val="00F01B13"/>
    <w:rsid w:val="00F52DEB"/>
    <w:rsid w:val="00F70AAF"/>
    <w:rsid w:val="00F7578C"/>
    <w:rsid w:val="00F94335"/>
    <w:rsid w:val="00FC102B"/>
    <w:rsid w:val="00FC76DD"/>
    <w:rsid w:val="6C86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ascii="Times New Roman" w:hAnsi="Times New Roman" w:eastAsia="方正仿宋简体" w:cs="Mangal"/>
      <w:color w:val="00000A"/>
      <w:sz w:val="32"/>
      <w:szCs w:val="24"/>
      <w:lang w:val="zh-CN" w:bidi="hi-IN"/>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0"/>
    <w:rPr>
      <w:rFonts w:ascii="Times New Roman" w:hAnsi="Times New Roman" w:eastAsia="方正仿宋简体" w:cs="Mangal"/>
      <w:color w:val="00000A"/>
      <w:sz w:val="32"/>
      <w:szCs w:val="24"/>
      <w:lang w:val="zh-CN" w:bidi="hi-IN"/>
    </w:rPr>
  </w:style>
  <w:style w:type="character" w:customStyle="1" w:styleId="8">
    <w:name w:val="p0 Char Char"/>
    <w:basedOn w:val="5"/>
    <w:link w:val="9"/>
    <w:qFormat/>
    <w:uiPriority w:val="0"/>
    <w:rPr>
      <w:rFonts w:eastAsia="宋体"/>
      <w:szCs w:val="21"/>
    </w:rPr>
  </w:style>
  <w:style w:type="paragraph" w:customStyle="1" w:styleId="9">
    <w:name w:val="p0"/>
    <w:basedOn w:val="1"/>
    <w:link w:val="8"/>
    <w:qFormat/>
    <w:uiPriority w:val="0"/>
    <w:pPr>
      <w:widowControl/>
    </w:pPr>
    <w:rPr>
      <w:rFonts w:eastAsia="宋体"/>
      <w:szCs w:val="21"/>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6106B-021A-4B41-9ABB-E7F5729C3C0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529</Words>
  <Characters>3019</Characters>
  <Lines>25</Lines>
  <Paragraphs>7</Paragraphs>
  <TotalTime>1</TotalTime>
  <ScaleCrop>false</ScaleCrop>
  <LinksUpToDate>false</LinksUpToDate>
  <CharactersWithSpaces>3541</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2020-12-25T07:42:00Z</dcterms:created>
  <dc:creator>lenovoqq</dc:creator>
  <cp:lastModifiedBy>admin</cp:lastModifiedBy>
  <dcterms:modified xsi:type="dcterms:W3CDTF">2021-03-12T07:39:13Z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