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0"/>
        </w:tabs>
        <w:spacing w:before="0" w:after="0" w:line="60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四川省市场监督管理局</w:t>
      </w:r>
    </w:p>
    <w:p>
      <w:pPr>
        <w:pStyle w:val="2"/>
        <w:tabs>
          <w:tab w:val="clear" w:pos="0"/>
        </w:tabs>
        <w:spacing w:before="0" w:after="0" w:line="60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行政处罚决定书</w:t>
      </w:r>
    </w:p>
    <w:p>
      <w:pPr>
        <w:pStyle w:val="2"/>
        <w:tabs>
          <w:tab w:val="left" w:pos="420"/>
          <w:tab w:val="clear" w:pos="0"/>
        </w:tabs>
        <w:spacing w:before="156" w:after="0" w:line="640" w:lineRule="exact"/>
        <w:jc w:val="center"/>
        <w:rPr>
          <w:rFonts w:cs="Times New Roman"/>
          <w:color w:val="000000" w:themeColor="text1"/>
          <w:szCs w:val="32"/>
        </w:rPr>
      </w:pPr>
      <w:r>
        <w:rPr>
          <w:rFonts w:cs="Times New Roman"/>
          <w:color w:val="000000" w:themeColor="text1"/>
          <w:szCs w:val="32"/>
        </w:rPr>
        <w:t>川</w:t>
      </w:r>
      <w:r>
        <w:rPr>
          <w:rFonts w:cs="Times New Roman"/>
          <w:color w:val="000000" w:themeColor="text1"/>
          <w:kern w:val="0"/>
          <w:szCs w:val="32"/>
        </w:rPr>
        <w:t>市监处〔2020〕28号</w:t>
      </w:r>
    </w:p>
    <w:p>
      <w:pPr>
        <w:widowControl/>
        <w:shd w:val="clear" w:color="auto" w:fill="FFFFFF"/>
        <w:ind w:left="150" w:right="150"/>
        <w:rPr>
          <w:rFonts w:ascii="Times New Roman" w:hAnsi="Times New Roman" w:eastAsia="微软雅黑" w:cs="Times New Roman"/>
          <w:color w:val="000000" w:themeColor="text1"/>
          <w:kern w:val="0"/>
          <w:sz w:val="30"/>
          <w:szCs w:val="30"/>
        </w:rPr>
      </w:pPr>
    </w:p>
    <w:p>
      <w:pPr>
        <w:ind w:firstLine="640" w:firstLineChars="200"/>
        <w:rPr>
          <w:rFonts w:ascii="Times New Roman" w:hAnsi="Times New Roman" w:eastAsia="方正黑体简体" w:cs="Times New Roman"/>
          <w:color w:val="000000" w:themeColor="text1"/>
          <w:szCs w:val="32"/>
        </w:rPr>
      </w:pPr>
      <w:r>
        <w:rPr>
          <w:rFonts w:ascii="Times New Roman" w:hAnsi="Times New Roman" w:eastAsia="方正黑体简体" w:cs="Times New Roman"/>
          <w:color w:val="000000" w:themeColor="text1"/>
          <w:szCs w:val="32"/>
        </w:rPr>
        <w:t>一、当事人情况</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当事人：四川省星船城水泥股份有限公司</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统一社会信用代码：915110007469111931</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类型：股份有限公司（非上市、外商投资企业投资）</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住所：资中县铁佛镇高荣村</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法定代表人：陈铁军</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经营范围：开采石灰石 （限分公司经营）；余热发电，生产水泥、矿渣微粉和其他水泥相关产品；销售本公司产品（涉及许可证经营的凭许可证经营）。</w:t>
      </w:r>
    </w:p>
    <w:p>
      <w:pPr>
        <w:ind w:firstLine="640" w:firstLineChars="200"/>
        <w:rPr>
          <w:rFonts w:ascii="Times New Roman" w:hAnsi="Times New Roman" w:eastAsia="方正黑体简体" w:cs="Times New Roman"/>
          <w:color w:val="000000" w:themeColor="text1"/>
          <w:szCs w:val="32"/>
        </w:rPr>
      </w:pPr>
      <w:r>
        <w:rPr>
          <w:rFonts w:ascii="Times New Roman" w:hAnsi="Times New Roman" w:eastAsia="方正黑体简体" w:cs="Times New Roman"/>
          <w:color w:val="000000" w:themeColor="text1"/>
          <w:szCs w:val="32"/>
        </w:rPr>
        <w:t>二、案件来源及调查经过</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本机关现查明当事人与其他五家具有竞争关系的水泥经营者在四川省水泥协会的组织和推动下，达成并实施了垄断协议，于2020年12月22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ind w:firstLine="640" w:firstLineChars="200"/>
        <w:rPr>
          <w:rFonts w:ascii="Times New Roman" w:hAnsi="Times New Roman" w:eastAsia="方正黑体简体" w:cs="Times New Roman"/>
          <w:color w:val="000000" w:themeColor="text1"/>
          <w:szCs w:val="32"/>
        </w:rPr>
      </w:pPr>
      <w:r>
        <w:rPr>
          <w:rFonts w:ascii="Times New Roman" w:hAnsi="Times New Roman" w:eastAsia="方正黑体简体" w:cs="Times New Roman"/>
          <w:color w:val="000000" w:themeColor="text1"/>
          <w:szCs w:val="32"/>
        </w:rPr>
        <w:t>三、违法事实及相关证据</w:t>
      </w:r>
    </w:p>
    <w:p>
      <w:pPr>
        <w:ind w:firstLine="640" w:firstLineChars="200"/>
        <w:rPr>
          <w:rFonts w:ascii="Times New Roman" w:hAnsi="Times New Roman" w:eastAsia="方正楷体简体" w:cs="Times New Roman"/>
          <w:b/>
          <w:color w:val="000000" w:themeColor="text1"/>
          <w:szCs w:val="32"/>
        </w:rPr>
      </w:pPr>
      <w:r>
        <w:rPr>
          <w:rFonts w:ascii="Times New Roman" w:hAnsi="Times New Roman" w:eastAsia="方正楷体简体" w:cs="Times New Roman"/>
          <w:b/>
          <w:color w:val="000000" w:themeColor="text1"/>
          <w:szCs w:val="32"/>
        </w:rPr>
        <w:t>（一）当事人在四川省水泥协会组织下与具有竞争关系的经营者达成“固定或者变更商品价格”的垄断协议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现查明，当事人和其他涉案五家水泥经营者：四川西南水泥有限公司、四川峨胜水泥股份有限公司、四川亚东水泥有限公司、四川双马水泥股份有限公司及四川峨眉山佛光水泥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ind w:firstLine="640" w:firstLineChars="200"/>
        <w:rPr>
          <w:rFonts w:ascii="Times New Roman" w:hAnsi="Times New Roman" w:eastAsia="方正楷体简体" w:cs="Times New Roman"/>
          <w:b/>
          <w:color w:val="000000" w:themeColor="text1"/>
          <w:szCs w:val="32"/>
        </w:rPr>
      </w:pPr>
      <w:r>
        <w:rPr>
          <w:rFonts w:ascii="Times New Roman" w:hAnsi="Times New Roman" w:cs="Times New Roman"/>
          <w:color w:val="000000" w:themeColor="text1"/>
          <w:szCs w:val="32"/>
        </w:rPr>
        <w:t>2016年10月11日，四川省水泥协会组织六家经营者“四川西南、峨胜、亚东（兰丰）、四川双马、星船城、佛光”在成都市召开“十月份复价减亏工作推进会”，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ind w:firstLine="640" w:firstLineChars="200"/>
        <w:rPr>
          <w:rFonts w:ascii="Times New Roman" w:hAnsi="Times New Roman" w:cs="Times New Roman"/>
          <w:color w:val="000000" w:themeColor="text1"/>
          <w:szCs w:val="32"/>
        </w:rPr>
      </w:pPr>
      <w:r>
        <w:rPr>
          <w:rFonts w:ascii="Times New Roman" w:hAnsi="Times New Roman" w:eastAsia="方正楷体简体" w:cs="Times New Roman"/>
          <w:b/>
          <w:color w:val="000000" w:themeColor="text1"/>
          <w:szCs w:val="32"/>
        </w:rPr>
        <w:t>（二）当事人实施了上述垄断协议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垄断协议订立后，四川省水泥协会即组织六家涉案经营者着手实施，第一步，当事人于2016年10月14日向客户发出《调价通知》告知客户，自2016年10月17日0:00时起，对“重龙山”牌水泥，包括P.O52.5、P.O42.5R、P.O42.5、P.C32.5R散装水泥的出厂单价在原有基础上每吨上调伍拾圆整（50.00元/吨）；第二步，按照垄断协议的约定，包括当事人在内的六家水泥经营者自10月17日起，陆续对各自下游客户实际上调散装水泥价格50元/吨。</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2016年10月19日，四川省水泥协会在绵阳举行2016年十月份水泥企业座谈会议,会上总结了10月17日散装水泥涨价的实施成果并形成了巩固涨价相关措施的会议决议。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上述事实，主要有以下证据证明：</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三：当事人及其他五家涉案水泥企业向客户发出的调价文件复印件、当事人工作人员的询问笔录、当事人下属贸易平台公司的《销售调价审批程序表》及其与下游客户签订的《补充协议》、增值税发票等、《四川省水泥协会2016年十月份水泥企业座谈会议纪要》，证明包括当事人在内的六家水泥经营者在四川省水泥协会组织下变更商品价格、实施垄断协议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证据组五：《四川省水泥协会2017年年会暨三届三次理事会议纪要》，证明协会制定含有排除、限制竞争内容的规则的事实。</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证据组六：《四川省星船城水泥股份有限公司2016年度的成都区域终端客户散装水泥销售收入情况专项审计报告》（大信川专审字</w:t>
      </w:r>
      <w:r>
        <w:rPr>
          <w:rFonts w:ascii="Times New Roman" w:hAnsi="Times New Roman" w:eastAsia="宋体" w:cs="Times New Roman"/>
          <w:color w:val="000000" w:themeColor="text1"/>
          <w:szCs w:val="32"/>
        </w:rPr>
        <w:t>﹝</w:t>
      </w:r>
      <w:r>
        <w:rPr>
          <w:rFonts w:ascii="Times New Roman" w:hAnsi="Times New Roman" w:cs="Times New Roman"/>
          <w:color w:val="000000" w:themeColor="text1"/>
          <w:szCs w:val="32"/>
        </w:rPr>
        <w:t>2020</w:t>
      </w:r>
      <w:r>
        <w:rPr>
          <w:rFonts w:ascii="Times New Roman" w:hAnsi="Times New Roman" w:eastAsia="宋体" w:cs="Times New Roman"/>
          <w:color w:val="000000" w:themeColor="text1"/>
          <w:szCs w:val="32"/>
        </w:rPr>
        <w:t>﹞</w:t>
      </w:r>
      <w:r>
        <w:rPr>
          <w:rFonts w:ascii="Times New Roman" w:hAnsi="Times New Roman" w:cs="Times New Roman"/>
          <w:color w:val="000000" w:themeColor="text1"/>
          <w:szCs w:val="32"/>
        </w:rPr>
        <w:t>第00323号），证明当事人实施垄断协议的事实及2016年度相关销售财务数据。</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以上有关证据，已由当事人或相关责任人签字或盖章确认并查证属实。</w:t>
      </w:r>
    </w:p>
    <w:p>
      <w:pPr>
        <w:ind w:firstLine="640" w:firstLineChars="200"/>
        <w:rPr>
          <w:rFonts w:ascii="Times New Roman" w:hAnsi="Times New Roman" w:eastAsia="方正黑体简体" w:cs="Times New Roman"/>
          <w:color w:val="000000" w:themeColor="text1"/>
          <w:szCs w:val="32"/>
        </w:rPr>
      </w:pPr>
      <w:r>
        <w:rPr>
          <w:rFonts w:ascii="Times New Roman" w:hAnsi="Times New Roman" w:eastAsia="方正黑体简体" w:cs="Times New Roman"/>
          <w:color w:val="000000" w:themeColor="text1"/>
          <w:szCs w:val="32"/>
        </w:rPr>
        <w:t>四、行政处罚依据及决定</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本机关认定，当事人与其他五家具有竞争关系的水泥经营者在四川省水泥协会的组织和推动下，对散装水泥产品涨价时间及幅度协商一致，统一上调散装水泥销售价格，该行为违反《中华人民共和国反垄断法》（以下简称《反垄断法》）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如下行政处罚：</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没收违法所得1602885 元，并处2016年度销售额2%的罚款1986973 元，以上罚没款共计3589858元（大写：人民币叁佰伍拾捌万玖仟捌佰伍拾捌元）。</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当事人应当自收到本行政处罚决定书之日起十五日内，将罚没款缴至下述银行。根据《中华人民共和国行政处罚法》第五十一条规定，当事人逾期不履行行政处罚决定的，本机关可以采取以下措施：（一）到期不缴纳罚款的，每日按罚款数额的百分之三加处罚款；（二）申请人民法院强制执行。</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缴款银行：四川省建行锦城支行</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户　  名：四川省财政厅</w:t>
      </w:r>
    </w:p>
    <w:p>
      <w:pPr>
        <w:ind w:firstLine="640" w:firstLineChars="200"/>
        <w:rPr>
          <w:rFonts w:hint="eastAsia" w:ascii="Times New Roman" w:hAnsi="Times New Roman" w:eastAsia="方正仿宋简体" w:cs="Times New Roman"/>
          <w:color w:val="000000" w:themeColor="text1"/>
          <w:szCs w:val="32"/>
          <w:lang w:eastAsia="zh-CN"/>
        </w:rPr>
      </w:pPr>
      <w:r>
        <w:rPr>
          <w:rFonts w:ascii="Times New Roman" w:hAnsi="Times New Roman" w:cs="Times New Roman"/>
          <w:color w:val="000000" w:themeColor="text1"/>
          <w:szCs w:val="32"/>
        </w:rPr>
        <w:t>帐　  号：</w:t>
      </w:r>
      <w:r>
        <w:rPr>
          <w:rFonts w:hint="eastAsia" w:ascii="Times New Roman" w:hAnsi="Times New Roman" w:cs="Times New Roman"/>
          <w:color w:val="000000" w:themeColor="text1"/>
          <w:szCs w:val="32"/>
          <w:lang w:eastAsia="zh-CN"/>
        </w:rPr>
        <w:t>略</w:t>
      </w:r>
      <w:bookmarkStart w:id="0" w:name="_GoBack"/>
      <w:bookmarkEnd w:id="0"/>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当事人如对上述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ind w:firstLine="640" w:firstLineChars="200"/>
        <w:rPr>
          <w:rFonts w:ascii="Times New Roman" w:hAnsi="Times New Roman" w:cs="Times New Roman"/>
          <w:color w:val="000000" w:themeColor="text1"/>
          <w:szCs w:val="32"/>
        </w:rPr>
      </w:pPr>
    </w:p>
    <w:p>
      <w:pPr>
        <w:ind w:firstLine="640" w:firstLineChars="200"/>
        <w:rPr>
          <w:rFonts w:ascii="Times New Roman" w:hAnsi="Times New Roman" w:cs="Times New Roman"/>
          <w:color w:val="000000" w:themeColor="text1"/>
          <w:szCs w:val="32"/>
        </w:rPr>
      </w:pP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                           四川省市场监督管理局</w:t>
      </w:r>
    </w:p>
    <w:p>
      <w:pPr>
        <w:ind w:firstLine="640"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                             2020年12月28日</w:t>
      </w:r>
    </w:p>
    <w:p>
      <w:pPr>
        <w:widowControl/>
        <w:shd w:val="clear" w:color="auto" w:fill="FFFFFF"/>
        <w:ind w:right="150"/>
        <w:rPr>
          <w:rFonts w:ascii="Times New Roman" w:hAnsi="Times New Roman" w:eastAsia="仿宋"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ind w:right="150"/>
        <w:rPr>
          <w:rFonts w:ascii="Times New Roman" w:hAnsi="Times New Roman" w:eastAsia="仿宋_GB2312" w:cs="Times New Roman"/>
          <w:color w:val="000000" w:themeColor="text1"/>
          <w:szCs w:val="32"/>
        </w:rPr>
      </w:pPr>
    </w:p>
    <w:p>
      <w:pPr>
        <w:widowControl/>
        <w:shd w:val="clear" w:color="auto" w:fill="FFFFFF"/>
        <w:spacing w:before="150" w:after="150"/>
        <w:ind w:right="675" w:firstLine="140" w:firstLineChars="50"/>
        <w:rPr>
          <w:rFonts w:ascii="Times New Roman" w:hAnsi="Times New Roman" w:eastAsia="方正黑体简体" w:cs="Times New Roman"/>
          <w:color w:val="000000" w:themeColor="text1"/>
          <w:kern w:val="0"/>
          <w:sz w:val="28"/>
          <w:szCs w:val="28"/>
        </w:rPr>
      </w:pPr>
      <w:r>
        <w:rPr>
          <w:rFonts w:ascii="Times New Roman" w:hAnsi="Times New Roman" w:eastAsia="方正黑体简体" w:cs="Times New Roman"/>
          <w:color w:val="000000" w:themeColor="text1"/>
          <w:kern w:val="0"/>
          <w:sz w:val="28"/>
          <w:szCs w:val="28"/>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widowControl/>
              <w:jc w:val="left"/>
              <w:rPr>
                <w:rFonts w:ascii="Times New Roman" w:hAnsi="Times New Roman" w:eastAsia="微软雅黑" w:cs="Times New Roman"/>
                <w:color w:val="000000" w:themeColor="text1"/>
                <w:kern w:val="0"/>
                <w:sz w:val="24"/>
                <w:szCs w:val="24"/>
              </w:rPr>
            </w:pPr>
          </w:p>
        </w:tc>
      </w:tr>
    </w:tbl>
    <w:p>
      <w:pPr>
        <w:widowControl/>
        <w:shd w:val="clear" w:color="auto" w:fill="FFFFFF"/>
        <w:ind w:right="150" w:firstLine="280" w:firstLineChars="100"/>
        <w:jc w:val="left"/>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本文书一式三份，一份送达，一份归档，一份办案机构留存。</w:t>
      </w:r>
    </w:p>
    <w:sectPr>
      <w:footerReference r:id="rId3" w:type="default"/>
      <w:footerReference r:id="rId4" w:type="even"/>
      <w:pgSz w:w="11906" w:h="16838"/>
      <w:pgMar w:top="1871" w:right="1361" w:bottom="1701" w:left="1588" w:header="851" w:footer="992"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836445"/>
      <w:docPartObj>
        <w:docPartGallery w:val="AutoText"/>
      </w:docPartObj>
    </w:sdtPr>
    <w:sdtEndPr>
      <w:rPr>
        <w:rFonts w:asciiTheme="minorEastAsia" w:hAnsiTheme="minorEastAsia" w:eastAsiaTheme="minorEastAsia"/>
        <w:sz w:val="24"/>
        <w:szCs w:val="24"/>
      </w:rPr>
    </w:sdtEndPr>
    <w:sdtContent>
      <w:p>
        <w:pPr>
          <w:pStyle w:val="3"/>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449703"/>
      <w:docPartObj>
        <w:docPartGallery w:val="AutoText"/>
      </w:docPartObj>
    </w:sdtPr>
    <w:sdtEndPr>
      <w:rPr>
        <w:rFonts w:asciiTheme="minorEastAsia" w:hAnsiTheme="minorEastAsia" w:eastAsiaTheme="minorEastAsia"/>
        <w:sz w:val="24"/>
        <w:szCs w:val="24"/>
      </w:rPr>
    </w:sdtEndPr>
    <w:sdtContent>
      <w:p>
        <w:pPr>
          <w:pStyle w:val="3"/>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D62"/>
    <w:rsid w:val="0000717E"/>
    <w:rsid w:val="00010C69"/>
    <w:rsid w:val="000261E5"/>
    <w:rsid w:val="00054D62"/>
    <w:rsid w:val="00060034"/>
    <w:rsid w:val="0008248F"/>
    <w:rsid w:val="000879E8"/>
    <w:rsid w:val="000A1E97"/>
    <w:rsid w:val="000A6890"/>
    <w:rsid w:val="000D73A8"/>
    <w:rsid w:val="000F3D7A"/>
    <w:rsid w:val="00101BE0"/>
    <w:rsid w:val="001454BE"/>
    <w:rsid w:val="001B6611"/>
    <w:rsid w:val="001C1AF6"/>
    <w:rsid w:val="001C3186"/>
    <w:rsid w:val="001C5EE5"/>
    <w:rsid w:val="001C7256"/>
    <w:rsid w:val="002040F3"/>
    <w:rsid w:val="00213445"/>
    <w:rsid w:val="002440B7"/>
    <w:rsid w:val="0025701A"/>
    <w:rsid w:val="0026419D"/>
    <w:rsid w:val="00297E41"/>
    <w:rsid w:val="003317DE"/>
    <w:rsid w:val="00351192"/>
    <w:rsid w:val="00354D99"/>
    <w:rsid w:val="00370133"/>
    <w:rsid w:val="003765F0"/>
    <w:rsid w:val="00381E46"/>
    <w:rsid w:val="003E7357"/>
    <w:rsid w:val="003F028E"/>
    <w:rsid w:val="0040635C"/>
    <w:rsid w:val="00407ADC"/>
    <w:rsid w:val="00422288"/>
    <w:rsid w:val="00423766"/>
    <w:rsid w:val="00487C9D"/>
    <w:rsid w:val="004A1E6B"/>
    <w:rsid w:val="004A27B2"/>
    <w:rsid w:val="004B14FB"/>
    <w:rsid w:val="004D6F8F"/>
    <w:rsid w:val="004F2B14"/>
    <w:rsid w:val="005152E3"/>
    <w:rsid w:val="00520FF8"/>
    <w:rsid w:val="00521144"/>
    <w:rsid w:val="00543855"/>
    <w:rsid w:val="005A47BB"/>
    <w:rsid w:val="005E75F9"/>
    <w:rsid w:val="00605191"/>
    <w:rsid w:val="00607E4C"/>
    <w:rsid w:val="0061451C"/>
    <w:rsid w:val="00615C23"/>
    <w:rsid w:val="0063204B"/>
    <w:rsid w:val="00633E69"/>
    <w:rsid w:val="00635E9E"/>
    <w:rsid w:val="00660D73"/>
    <w:rsid w:val="0067497F"/>
    <w:rsid w:val="0068446E"/>
    <w:rsid w:val="006C6C8A"/>
    <w:rsid w:val="007131CC"/>
    <w:rsid w:val="00750835"/>
    <w:rsid w:val="00782DEB"/>
    <w:rsid w:val="00786DF3"/>
    <w:rsid w:val="007D280D"/>
    <w:rsid w:val="008428F2"/>
    <w:rsid w:val="00843914"/>
    <w:rsid w:val="008D3C3E"/>
    <w:rsid w:val="008D7C91"/>
    <w:rsid w:val="008F4C94"/>
    <w:rsid w:val="009113C9"/>
    <w:rsid w:val="00943A49"/>
    <w:rsid w:val="00977B8D"/>
    <w:rsid w:val="009923C1"/>
    <w:rsid w:val="009A4313"/>
    <w:rsid w:val="009B251E"/>
    <w:rsid w:val="009F61BC"/>
    <w:rsid w:val="009F74DB"/>
    <w:rsid w:val="00A011C9"/>
    <w:rsid w:val="00A27784"/>
    <w:rsid w:val="00A7319B"/>
    <w:rsid w:val="00A777AD"/>
    <w:rsid w:val="00AF071A"/>
    <w:rsid w:val="00AF796B"/>
    <w:rsid w:val="00B046C0"/>
    <w:rsid w:val="00B234F5"/>
    <w:rsid w:val="00B51A99"/>
    <w:rsid w:val="00B968A6"/>
    <w:rsid w:val="00BA3B30"/>
    <w:rsid w:val="00BA4056"/>
    <w:rsid w:val="00BB57DA"/>
    <w:rsid w:val="00BB69F6"/>
    <w:rsid w:val="00BC329B"/>
    <w:rsid w:val="00BE331C"/>
    <w:rsid w:val="00C14730"/>
    <w:rsid w:val="00C37610"/>
    <w:rsid w:val="00C76EF9"/>
    <w:rsid w:val="00C77642"/>
    <w:rsid w:val="00C85870"/>
    <w:rsid w:val="00CC2B4D"/>
    <w:rsid w:val="00CD69DC"/>
    <w:rsid w:val="00CF7833"/>
    <w:rsid w:val="00D11EAB"/>
    <w:rsid w:val="00D12D28"/>
    <w:rsid w:val="00D20010"/>
    <w:rsid w:val="00D342E4"/>
    <w:rsid w:val="00D4453B"/>
    <w:rsid w:val="00D46567"/>
    <w:rsid w:val="00D92F32"/>
    <w:rsid w:val="00DA684D"/>
    <w:rsid w:val="00DC2200"/>
    <w:rsid w:val="00DD3B84"/>
    <w:rsid w:val="00E006D5"/>
    <w:rsid w:val="00E03D7C"/>
    <w:rsid w:val="00E1662D"/>
    <w:rsid w:val="00E24628"/>
    <w:rsid w:val="00E25B46"/>
    <w:rsid w:val="00E33295"/>
    <w:rsid w:val="00E4620B"/>
    <w:rsid w:val="00E710B6"/>
    <w:rsid w:val="00E9189C"/>
    <w:rsid w:val="00E96942"/>
    <w:rsid w:val="00EA0716"/>
    <w:rsid w:val="00EB73AC"/>
    <w:rsid w:val="00EC2546"/>
    <w:rsid w:val="00EC2880"/>
    <w:rsid w:val="00ED5736"/>
    <w:rsid w:val="00F03F26"/>
    <w:rsid w:val="00F94335"/>
    <w:rsid w:val="00FB1844"/>
    <w:rsid w:val="10FF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ascii="Times New Roman" w:hAnsi="Times New Roman" w:cs="Mangal"/>
      <w:color w:val="00000A"/>
      <w:szCs w:val="24"/>
      <w:lang w:val="zh-CN" w:bidi="hi-IN"/>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Times New Roman" w:hAnsi="Times New Roman" w:eastAsia="方正仿宋简体" w:cs="Mangal"/>
      <w:color w:val="00000A"/>
      <w:sz w:val="32"/>
      <w:szCs w:val="24"/>
      <w:lang w:val="zh-CN" w:bidi="hi-IN"/>
    </w:rPr>
  </w:style>
  <w:style w:type="character" w:customStyle="1" w:styleId="8">
    <w:name w:val="p0 Char Char"/>
    <w:basedOn w:val="5"/>
    <w:link w:val="9"/>
    <w:uiPriority w:val="0"/>
    <w:rPr>
      <w:rFonts w:eastAsia="宋体"/>
      <w:szCs w:val="21"/>
    </w:rPr>
  </w:style>
  <w:style w:type="paragraph" w:customStyle="1" w:styleId="9">
    <w:name w:val="p0"/>
    <w:basedOn w:val="1"/>
    <w:link w:val="8"/>
    <w:uiPriority w:val="0"/>
    <w:pPr>
      <w:widowControl/>
    </w:pPr>
    <w:rPr>
      <w:rFonts w:eastAsia="宋体"/>
      <w:szCs w:val="21"/>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530</Words>
  <Characters>3024</Characters>
  <Lines>25</Lines>
  <Paragraphs>7</Paragraphs>
  <TotalTime>148</TotalTime>
  <ScaleCrop>false</ScaleCrop>
  <LinksUpToDate>false</LinksUpToDate>
  <CharactersWithSpaces>3547</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2020-12-04T03:02:00Z</dcterms:created>
  <dc:creator>lenovoqq</dc:creator>
  <cp:lastModifiedBy>admin</cp:lastModifiedBy>
  <cp:lastPrinted>2021-03-12T07:41:55Z</cp:lastPrinted>
  <dcterms:modified xsi:type="dcterms:W3CDTF">2021-03-12T08:36:55Z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