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32"/>
          <w:szCs w:val="32"/>
        </w:rPr>
      </w:pPr>
      <w:r>
        <w:rPr>
          <w:rFonts w:hint="eastAsia" w:eastAsia="仿宋_GB2312"/>
          <w:kern w:val="2"/>
          <w:sz w:val="32"/>
          <w:szCs w:val="32"/>
        </w:rPr>
        <w:t>国市监处〔2020〕</w:t>
      </w:r>
      <w:r>
        <w:rPr>
          <w:rFonts w:hint="eastAsia" w:eastAsia="仿宋_GB2312"/>
          <w:kern w:val="2"/>
          <w:sz w:val="32"/>
          <w:szCs w:val="32"/>
          <w:lang w:val="en-US" w:eastAsia="zh-CN"/>
        </w:rPr>
        <w:t>38</w:t>
      </w:r>
      <w:r>
        <w:rPr>
          <w:rFonts w:hint="eastAsia" w:eastAsia="仿宋_GB2312"/>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default" w:ascii="Times New Roman" w:hAnsi="Times New Roman" w:eastAsia="仿宋_GB2312" w:cs="Times New Roman"/>
          <w:sz w:val="32"/>
          <w:szCs w:val="32"/>
        </w:rPr>
        <w:t>新疆雪峰投资控股有限责任公司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住  所：新疆乌鲁木齐市经济技术开发区嵩山街229号研发楼414室</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根据《反垄断法》，本机关于</w:t>
      </w:r>
      <w:r>
        <w:rPr>
          <w:rFonts w:hint="default"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lang w:val="en-US" w:eastAsia="zh-CN"/>
        </w:rPr>
        <w:t>20</w:t>
      </w:r>
      <w:r>
        <w:rPr>
          <w:rFonts w:hint="default" w:ascii="Times New Roman" w:hAnsi="Times New Roman" w:eastAsia="仿宋_GB2312" w:cs="Times New Roman"/>
          <w:kern w:val="2"/>
          <w:sz w:val="32"/>
          <w:szCs w:val="32"/>
          <w:lang w:val="en-US" w:eastAsia="zh-CN"/>
        </w:rPr>
        <w:t>年</w:t>
      </w:r>
      <w:r>
        <w:rPr>
          <w:rFonts w:hint="default" w:ascii="Times New Roman" w:hAnsi="Times New Roman" w:eastAsia="仿宋_GB2312" w:cs="Times New Roman"/>
          <w:sz w:val="32"/>
          <w:lang w:val="en-US" w:eastAsia="zh-CN"/>
        </w:rPr>
        <w:t>6月9日</w:t>
      </w:r>
      <w:r>
        <w:rPr>
          <w:rFonts w:hint="eastAsia" w:eastAsia="仿宋_GB2312"/>
          <w:kern w:val="2"/>
          <w:sz w:val="32"/>
          <w:szCs w:val="32"/>
        </w:rPr>
        <w:t>对</w:t>
      </w:r>
      <w:r>
        <w:rPr>
          <w:rFonts w:hint="default" w:ascii="Times New Roman" w:hAnsi="Times New Roman" w:eastAsia="仿宋_GB2312" w:cs="Times New Roman"/>
          <w:sz w:val="32"/>
          <w:szCs w:val="32"/>
        </w:rPr>
        <w:t>新疆雪峰投资控股有限责任公司</w:t>
      </w:r>
      <w:r>
        <w:rPr>
          <w:rFonts w:hint="default" w:ascii="Times New Roman" w:hAnsi="Times New Roman" w:eastAsia="仿宋_GB2312" w:cs="Times New Roman"/>
          <w:sz w:val="32"/>
          <w:szCs w:val="32"/>
          <w:lang w:eastAsia="zh-CN"/>
        </w:rPr>
        <w:t>（以下简称新疆雪峰）</w:t>
      </w:r>
      <w:r>
        <w:rPr>
          <w:rFonts w:hint="default" w:ascii="Times New Roman" w:hAnsi="Times New Roman" w:eastAsia="仿宋_GB2312" w:cs="Times New Roman"/>
          <w:sz w:val="32"/>
          <w:szCs w:val="32"/>
          <w:lang w:val="en-US" w:eastAsia="zh-CN"/>
        </w:rPr>
        <w:t>收购</w:t>
      </w:r>
      <w:r>
        <w:rPr>
          <w:rFonts w:hint="default" w:ascii="Times New Roman" w:hAnsi="Times New Roman" w:eastAsia="仿宋_GB2312" w:cs="Times New Roman"/>
          <w:sz w:val="32"/>
          <w:szCs w:val="32"/>
        </w:rPr>
        <w:t>新疆玉象胡杨化工有限公司</w:t>
      </w:r>
      <w:r>
        <w:rPr>
          <w:rFonts w:hint="default" w:ascii="Times New Roman" w:hAnsi="Times New Roman" w:eastAsia="仿宋_GB2312" w:cs="Times New Roman"/>
          <w:sz w:val="32"/>
          <w:szCs w:val="32"/>
          <w:lang w:eastAsia="zh-CN"/>
        </w:rPr>
        <w:t>（以下简称玉象胡杨）</w:t>
      </w:r>
      <w:r>
        <w:rPr>
          <w:rFonts w:hint="default" w:ascii="Times New Roman" w:hAnsi="Times New Roman" w:eastAsia="仿宋_GB2312" w:cs="Times New Roman"/>
          <w:sz w:val="32"/>
          <w:szCs w:val="32"/>
          <w:lang w:val="en-US" w:eastAsia="zh-CN"/>
        </w:rPr>
        <w:t>股权</w:t>
      </w:r>
      <w:r>
        <w:rPr>
          <w:rFonts w:hint="eastAsia" w:eastAsia="仿宋_GB2312"/>
          <w:kern w:val="2"/>
          <w:sz w:val="32"/>
          <w:szCs w:val="32"/>
        </w:rPr>
        <w:t>涉嫌未依法申报违法实施经营者集中案进行立案调查。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经查，该案构成未依法申报违法实施的经营者集中，但不具有排除、限制竞争的效果。本机关按照《行政处罚法》的规定，向</w:t>
      </w:r>
      <w:r>
        <w:rPr>
          <w:rFonts w:hint="default" w:ascii="Times New Roman" w:hAnsi="Times New Roman" w:eastAsia="仿宋_GB2312" w:cs="Times New Roman"/>
          <w:sz w:val="32"/>
          <w:szCs w:val="32"/>
          <w:lang w:eastAsia="zh-CN"/>
        </w:rPr>
        <w:t>新疆雪峰</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新疆雪峰</w:t>
      </w:r>
      <w:r>
        <w:rPr>
          <w:rFonts w:hint="eastAsia" w:eastAsia="仿宋_GB2312"/>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（一）交易方。</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rPr>
      </w:pPr>
      <w:r>
        <w:rPr>
          <w:rFonts w:hint="default" w:ascii="Times New Roman" w:hAnsi="Times New Roman" w:eastAsia="仿宋_GB2312" w:cs="Times New Roman"/>
          <w:b w:val="0"/>
          <w:bCs/>
          <w:kern w:val="2"/>
          <w:sz w:val="32"/>
          <w:szCs w:val="32"/>
          <w:lang w:val="en-US" w:eastAsia="zh-CN" w:bidi="ar-SA"/>
        </w:rPr>
        <w:t>收购方：新疆雪峰</w:t>
      </w:r>
      <w:r>
        <w:rPr>
          <w:rFonts w:hint="default" w:ascii="Times New Roman" w:hAnsi="Times New Roman" w:eastAsia="仿宋_GB2312" w:cs="Times New Roman"/>
          <w:b w:val="0"/>
          <w:bCs/>
          <w:kern w:val="2"/>
          <w:sz w:val="32"/>
          <w:szCs w:val="32"/>
          <w:lang w:eastAsia="zh-CN"/>
        </w:rPr>
        <w:t>。</w:t>
      </w:r>
      <w:r>
        <w:rPr>
          <w:rFonts w:hint="default" w:ascii="Times New Roman" w:hAnsi="Times New Roman" w:cs="Times New Roman"/>
          <w:b w:val="0"/>
          <w:bCs/>
        </w:rPr>
        <w:t>2013年成立于</w:t>
      </w:r>
      <w:r>
        <w:rPr>
          <w:rFonts w:hint="default" w:ascii="Times New Roman" w:hAnsi="Times New Roman" w:cs="Times New Roman"/>
          <w:b w:val="0"/>
          <w:bCs/>
          <w:lang w:eastAsia="zh-CN"/>
        </w:rPr>
        <w:t>新疆乌鲁木齐</w:t>
      </w:r>
      <w:r>
        <w:rPr>
          <w:rFonts w:hint="default" w:ascii="Times New Roman" w:hAnsi="Times New Roman" w:cs="Times New Roman"/>
          <w:b w:val="0"/>
          <w:bCs/>
        </w:rPr>
        <w:t>，</w:t>
      </w:r>
      <w:r>
        <w:rPr>
          <w:rFonts w:hint="default" w:ascii="Times New Roman" w:hAnsi="Times New Roman" w:cs="Times New Roman"/>
          <w:b w:val="0"/>
          <w:bCs/>
          <w:lang w:eastAsia="zh-CN"/>
        </w:rPr>
        <w:t>通过控股子公司新疆雪峰科技（集团）股份有限公司从事</w:t>
      </w:r>
      <w:r>
        <w:rPr>
          <w:rFonts w:hint="default" w:ascii="Times New Roman" w:hAnsi="Times New Roman" w:eastAsia="仿宋_GB2312" w:cs="Times New Roman"/>
          <w:sz w:val="32"/>
          <w:szCs w:val="32"/>
        </w:rPr>
        <w:t>民用爆炸物品</w:t>
      </w:r>
      <w:r>
        <w:rPr>
          <w:rFonts w:hint="default" w:ascii="Times New Roman" w:hAnsi="Times New Roman" w:cs="Times New Roman"/>
          <w:b w:val="0"/>
          <w:bCs/>
          <w:highlight w:val="none"/>
        </w:rPr>
        <w:t>生产与销售</w:t>
      </w:r>
      <w:r>
        <w:rPr>
          <w:rFonts w:hint="default" w:ascii="Times New Roman" w:hAnsi="Times New Roman" w:cs="Times New Roman"/>
          <w:b w:val="0"/>
          <w:bCs/>
          <w:highlight w:val="none"/>
          <w:lang w:eastAsia="zh-CN"/>
        </w:rPr>
        <w:t>和</w:t>
      </w:r>
      <w:r>
        <w:rPr>
          <w:rFonts w:hint="default" w:ascii="Times New Roman" w:hAnsi="Times New Roman" w:cs="Times New Roman"/>
          <w:b w:val="0"/>
          <w:bCs/>
          <w:highlight w:val="none"/>
        </w:rPr>
        <w:t>爆破服务</w:t>
      </w:r>
      <w:r>
        <w:rPr>
          <w:rFonts w:hint="default" w:ascii="Times New Roman" w:hAnsi="Times New Roman" w:cs="Times New Roman"/>
          <w:b w:val="0"/>
          <w:bCs/>
          <w:highlight w:val="none"/>
          <w:lang w:eastAsia="zh-CN"/>
        </w:rPr>
        <w:t>等</w:t>
      </w:r>
      <w:r>
        <w:rPr>
          <w:rFonts w:hint="default" w:ascii="Times New Roman" w:hAnsi="Times New Roman" w:cs="Times New Roman"/>
          <w:b w:val="0"/>
          <w:bCs/>
          <w:highlight w:val="none"/>
        </w:rPr>
        <w:t>。</w:t>
      </w:r>
      <w:r>
        <w:rPr>
          <w:rFonts w:hint="default" w:ascii="Times New Roman" w:hAnsi="Times New Roman" w:cs="Times New Roman"/>
          <w:b w:val="0"/>
          <w:bCs/>
        </w:rPr>
        <w:t>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w:t>
      </w:r>
      <w:r>
        <w:rPr>
          <w:rFonts w:hint="default" w:ascii="Times New Roman" w:hAnsi="Times New Roman" w:cs="Times New Roman"/>
          <w:b w:val="0"/>
          <w:bCs/>
          <w:lang w:eastAsia="zh-CN"/>
        </w:rPr>
        <w:t>和</w:t>
      </w:r>
      <w:r>
        <w:rPr>
          <w:rFonts w:hint="default" w:ascii="Times New Roman" w:hAnsi="Times New Roman" w:cs="Times New Roman"/>
          <w:b w:val="0"/>
          <w:bCs/>
        </w:rPr>
        <w:t>中国境内营业额</w:t>
      </w:r>
      <w:r>
        <w:rPr>
          <w:rFonts w:hint="default" w:ascii="Times New Roman" w:hAnsi="Times New Roman" w:cs="Times New Roman"/>
          <w:b w:val="0"/>
          <w:bCs/>
          <w:lang w:eastAsia="zh-CN"/>
        </w:rPr>
        <w:t>均</w:t>
      </w:r>
      <w:r>
        <w:rPr>
          <w:rFonts w:hint="default" w:ascii="Times New Roman" w:hAnsi="Times New Roman" w:cs="Times New Roman"/>
          <w:b w:val="0"/>
          <w:bCs/>
        </w:rPr>
        <w:t>为</w:t>
      </w:r>
      <w:r>
        <w:rPr>
          <w:rFonts w:hint="eastAsia" w:eastAsia="仿宋_GB2312"/>
          <w:kern w:val="2"/>
          <w:sz w:val="32"/>
          <w:szCs w:val="32"/>
          <w:lang w:val="en-US" w:eastAsia="zh-CN"/>
        </w:rPr>
        <w:t>（略）</w:t>
      </w:r>
      <w:bookmarkStart w:id="0" w:name="_GoBack"/>
      <w:bookmarkEnd w:id="0"/>
      <w:r>
        <w:rPr>
          <w:rFonts w:hint="default" w:ascii="Times New Roman" w:hAnsi="Times New Roman" w:cs="Times New Roman"/>
          <w:b w:val="0"/>
          <w:bCs/>
          <w:lang w:eastAsia="zh-CN"/>
        </w:rPr>
        <w:t>（币种下同）</w:t>
      </w:r>
      <w:r>
        <w:rPr>
          <w:rFonts w:hint="default" w:ascii="Times New Roman" w:hAnsi="Times New Roman" w:cs="Times New Roman"/>
          <w:b w:val="0"/>
          <w:bCs/>
        </w:rPr>
        <w:t>。</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lang w:eastAsia="zh-CN"/>
        </w:rPr>
      </w:pPr>
      <w:r>
        <w:rPr>
          <w:rFonts w:hint="default" w:ascii="Times New Roman" w:hAnsi="Times New Roman" w:eastAsia="仿宋_GB2312" w:cs="Times New Roman"/>
          <w:b w:val="0"/>
          <w:bCs/>
          <w:kern w:val="2"/>
          <w:sz w:val="32"/>
          <w:szCs w:val="32"/>
          <w:lang w:val="en-US" w:eastAsia="zh-CN" w:bidi="ar-SA"/>
        </w:rPr>
        <w:t>被收购方：玉象胡杨</w:t>
      </w:r>
      <w:r>
        <w:rPr>
          <w:rFonts w:hint="default" w:ascii="Times New Roman" w:hAnsi="Times New Roman" w:cs="Times New Roman"/>
          <w:b w:val="0"/>
          <w:bCs/>
          <w:lang w:eastAsia="zh-CN"/>
        </w:rPr>
        <w:t>。</w:t>
      </w:r>
      <w:r>
        <w:rPr>
          <w:rFonts w:hint="default" w:ascii="Times New Roman" w:hAnsi="Times New Roman" w:cs="Times New Roman"/>
          <w:b w:val="0"/>
          <w:bCs/>
        </w:rPr>
        <w:t>200</w:t>
      </w:r>
      <w:r>
        <w:rPr>
          <w:rFonts w:hint="default" w:ascii="Times New Roman" w:hAnsi="Times New Roman" w:cs="Times New Roman"/>
          <w:b w:val="0"/>
          <w:bCs/>
          <w:lang w:val="en-US" w:eastAsia="zh-CN"/>
        </w:rPr>
        <w:t>9</w:t>
      </w:r>
      <w:r>
        <w:rPr>
          <w:rFonts w:hint="default" w:ascii="Times New Roman" w:hAnsi="Times New Roman" w:cs="Times New Roman"/>
          <w:b w:val="0"/>
          <w:bCs/>
        </w:rPr>
        <w:t>年成立于新疆阿克苏，</w:t>
      </w:r>
      <w:r>
        <w:rPr>
          <w:rFonts w:hint="default" w:ascii="Times New Roman" w:hAnsi="Times New Roman" w:cs="Times New Roman"/>
          <w:b w:val="0"/>
          <w:bCs/>
          <w:lang w:eastAsia="zh-CN"/>
        </w:rPr>
        <w:t>最终控制人为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r>
        <w:rPr>
          <w:rFonts w:hint="default" w:ascii="Times New Roman" w:hAnsi="Times New Roman" w:cs="Times New Roman"/>
          <w:b w:val="0"/>
          <w:bCs/>
        </w:rPr>
        <w:t>主要从事硝酸铵、硝基复合肥、三聚氰胺生产和销售业务。201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年全球和中国境内营业额均</w:t>
      </w:r>
      <w:r>
        <w:rPr>
          <w:rFonts w:hint="default" w:ascii="Times New Roman" w:hAnsi="Times New Roman" w:cs="Times New Roman"/>
          <w:b w:val="0"/>
          <w:bCs/>
          <w:highlight w:val="none"/>
        </w:rPr>
        <w:t>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lang w:eastAsia="zh-CN"/>
        </w:rPr>
      </w:pPr>
      <w:r>
        <w:rPr>
          <w:rFonts w:hint="default" w:ascii="Times New Roman" w:hAnsi="Times New Roman" w:cs="Times New Roman"/>
          <w:b w:val="0"/>
          <w:bCs/>
        </w:rPr>
        <w:t>被收购方</w:t>
      </w:r>
      <w:r>
        <w:rPr>
          <w:rFonts w:hint="default" w:ascii="Times New Roman" w:hAnsi="Times New Roman" w:cs="Times New Roman"/>
          <w:b w:val="0"/>
          <w:bCs/>
          <w:lang w:eastAsia="zh-CN"/>
        </w:rPr>
        <w:t>原股东</w:t>
      </w:r>
      <w:r>
        <w:rPr>
          <w:rFonts w:hint="default" w:ascii="Times New Roman" w:hAnsi="Times New Roman" w:cs="Times New Roman"/>
          <w:b w:val="0"/>
          <w:bCs/>
        </w:rPr>
        <w:t>：四川金象赛瑞化工股份有限公司（</w:t>
      </w:r>
      <w:r>
        <w:rPr>
          <w:rFonts w:hint="default" w:ascii="Times New Roman" w:hAnsi="Times New Roman" w:cs="Times New Roman"/>
          <w:b w:val="0"/>
          <w:bCs/>
          <w:lang w:eastAsia="zh-CN"/>
        </w:rPr>
        <w:t>以下简称</w:t>
      </w:r>
      <w:r>
        <w:rPr>
          <w:rFonts w:hint="default" w:ascii="Times New Roman" w:hAnsi="Times New Roman" w:cs="Times New Roman"/>
          <w:b w:val="0"/>
          <w:bCs/>
        </w:rPr>
        <w:t>四川金象）</w:t>
      </w:r>
      <w:r>
        <w:rPr>
          <w:rFonts w:hint="default" w:ascii="Times New Roman" w:hAnsi="Times New Roman" w:cs="Times New Roman"/>
          <w:b w:val="0"/>
          <w:bCs/>
          <w:lang w:eastAsia="zh-CN"/>
        </w:rPr>
        <w:t>。</w:t>
      </w:r>
      <w:r>
        <w:rPr>
          <w:rFonts w:hint="default" w:ascii="Times New Roman" w:hAnsi="Times New Roman" w:cs="Times New Roman"/>
          <w:b w:val="0"/>
          <w:bCs/>
        </w:rPr>
        <w:t>200</w:t>
      </w:r>
      <w:r>
        <w:rPr>
          <w:rFonts w:hint="default" w:ascii="Times New Roman" w:hAnsi="Times New Roman" w:cs="Times New Roman"/>
          <w:b w:val="0"/>
          <w:bCs/>
          <w:lang w:val="en-US" w:eastAsia="zh-CN"/>
        </w:rPr>
        <w:t>3</w:t>
      </w:r>
      <w:r>
        <w:rPr>
          <w:rFonts w:hint="default" w:ascii="Times New Roman" w:hAnsi="Times New Roman" w:cs="Times New Roman"/>
          <w:b w:val="0"/>
          <w:bCs/>
        </w:rPr>
        <w:t>年成立于四川省眉山市，</w:t>
      </w:r>
      <w:r>
        <w:rPr>
          <w:rFonts w:hint="default" w:ascii="Times New Roman" w:hAnsi="Times New Roman" w:cs="Times New Roman"/>
          <w:b w:val="0"/>
          <w:bCs/>
          <w:lang w:eastAsia="zh-CN"/>
        </w:rPr>
        <w:t>最终控制人为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r>
        <w:rPr>
          <w:rFonts w:hint="default" w:ascii="Times New Roman" w:hAnsi="Times New Roman" w:cs="Times New Roman"/>
          <w:b w:val="0"/>
          <w:bCs/>
        </w:rPr>
        <w:t>主要从事硝酸铵、硝基复合肥、三聚氰胺生产和销售业务。201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年全球和中国境内营业额均为</w:t>
      </w:r>
      <w:r>
        <w:rPr>
          <w:rFonts w:hint="eastAsia" w:eastAsia="仿宋_GB2312"/>
          <w:kern w:val="2"/>
          <w:sz w:val="32"/>
          <w:szCs w:val="32"/>
          <w:lang w:val="en-US" w:eastAsia="zh-CN"/>
        </w:rPr>
        <w:t>（略）</w:t>
      </w:r>
      <w:r>
        <w:rPr>
          <w:rFonts w:hint="default" w:ascii="Times New Roman" w:hAnsi="Times New Roman" w:cs="Times New Roman"/>
          <w:b w:val="0"/>
          <w:bCs/>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（二）交易概况。</w:t>
      </w:r>
    </w:p>
    <w:p>
      <w:pPr>
        <w:pStyle w:val="7"/>
        <w:keepNext w:val="0"/>
        <w:keepLines w:val="0"/>
        <w:pageBreakBefore w:val="0"/>
        <w:widowControl w:val="0"/>
        <w:kinsoku/>
        <w:wordWrap/>
        <w:topLinePunct w:val="0"/>
        <w:bidi w:val="0"/>
        <w:spacing w:line="594" w:lineRule="exact"/>
        <w:ind w:left="0" w:firstLine="640"/>
        <w:textAlignment w:val="auto"/>
        <w:rPr>
          <w:rFonts w:hint="default" w:ascii="Times New Roman" w:hAnsi="Times New Roman" w:cs="Times New Roman"/>
          <w:sz w:val="24"/>
          <w:szCs w:val="24"/>
          <w:lang w:eastAsia="zh-CN"/>
        </w:rPr>
      </w:pPr>
      <w:r>
        <w:rPr>
          <w:rFonts w:hint="default" w:ascii="Times New Roman" w:hAnsi="Times New Roman" w:eastAsia="仿宋_GB2312" w:cs="Times New Roman"/>
          <w:bCs/>
          <w:sz w:val="32"/>
        </w:rPr>
        <w:t>2018年6月，</w:t>
      </w:r>
      <w:r>
        <w:rPr>
          <w:rFonts w:hint="default" w:ascii="Times New Roman" w:hAnsi="Times New Roman" w:cs="Times New Roman"/>
          <w:bCs/>
          <w:sz w:val="32"/>
          <w:lang w:eastAsia="zh-CN"/>
        </w:rPr>
        <w:t>新疆</w:t>
      </w:r>
      <w:r>
        <w:rPr>
          <w:rFonts w:hint="default" w:ascii="Times New Roman" w:hAnsi="Times New Roman" w:eastAsia="仿宋_GB2312" w:cs="Times New Roman"/>
          <w:bCs/>
          <w:sz w:val="32"/>
        </w:rPr>
        <w:t>雪峰</w:t>
      </w:r>
      <w:r>
        <w:rPr>
          <w:rFonts w:hint="default" w:ascii="Times New Roman" w:hAnsi="Times New Roman" w:cs="Times New Roman"/>
          <w:bCs/>
          <w:sz w:val="32"/>
          <w:lang w:eastAsia="zh-CN"/>
        </w:rPr>
        <w:t>与玉象胡杨、四川金象等签署</w:t>
      </w:r>
      <w:r>
        <w:rPr>
          <w:rFonts w:hint="default" w:ascii="Times New Roman" w:hAnsi="Times New Roman" w:eastAsia="仿宋_GB2312" w:cs="Times New Roman"/>
          <w:bCs/>
          <w:sz w:val="32"/>
        </w:rPr>
        <w:t>《新疆玉象胡杨化工有限公司增资协议书》</w:t>
      </w:r>
      <w:r>
        <w:rPr>
          <w:rFonts w:hint="default" w:ascii="Times New Roman" w:hAnsi="Times New Roman" w:cs="Times New Roman"/>
          <w:bCs/>
          <w:sz w:val="32"/>
          <w:lang w:eastAsia="zh-CN"/>
        </w:rPr>
        <w:t>，新疆</w:t>
      </w:r>
      <w:r>
        <w:rPr>
          <w:rFonts w:hint="default" w:ascii="Times New Roman" w:hAnsi="Times New Roman" w:eastAsia="仿宋_GB2312" w:cs="Times New Roman"/>
          <w:bCs/>
          <w:sz w:val="32"/>
        </w:rPr>
        <w:t>雪峰以</w:t>
      </w:r>
      <w:r>
        <w:rPr>
          <w:rFonts w:hint="eastAsia" w:eastAsia="仿宋_GB2312"/>
          <w:kern w:val="2"/>
          <w:sz w:val="32"/>
          <w:szCs w:val="32"/>
          <w:lang w:val="en-US" w:eastAsia="zh-CN"/>
        </w:rPr>
        <w:t>（略）</w:t>
      </w:r>
      <w:r>
        <w:rPr>
          <w:rFonts w:hint="default" w:ascii="Times New Roman" w:hAnsi="Times New Roman" w:eastAsia="仿宋_GB2312" w:cs="Times New Roman"/>
          <w:bCs/>
          <w:sz w:val="32"/>
        </w:rPr>
        <w:t>增资玉象胡杨，取得玉象胡杨39.5%股权，成为玉象胡杨第一大股东。</w:t>
      </w:r>
      <w:r>
        <w:rPr>
          <w:rFonts w:hint="default" w:ascii="Times New Roman" w:hAnsi="Times New Roman" w:cs="Times New Roman"/>
          <w:bCs/>
          <w:sz w:val="32"/>
          <w:lang w:val="en-US" w:eastAsia="zh-CN"/>
        </w:rPr>
        <w:t>11月28日</w:t>
      </w:r>
      <w:r>
        <w:rPr>
          <w:rFonts w:hint="default" w:ascii="Times New Roman" w:hAnsi="Times New Roman" w:eastAsia="仿宋_GB2312" w:cs="Times New Roman"/>
          <w:sz w:val="32"/>
        </w:rPr>
        <w:t>，</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rPr>
        <w:t>完成股</w:t>
      </w:r>
      <w:r>
        <w:rPr>
          <w:rFonts w:hint="default" w:ascii="Times New Roman" w:hAnsi="Times New Roman" w:eastAsia="仿宋_GB2312" w:cs="Times New Roman"/>
          <w:bCs/>
          <w:sz w:val="32"/>
        </w:rPr>
        <w:t>权</w:t>
      </w:r>
      <w:r>
        <w:rPr>
          <w:rFonts w:hint="default" w:ascii="Times New Roman" w:hAnsi="Times New Roman" w:cs="Times New Roman"/>
          <w:bCs/>
          <w:sz w:val="32"/>
          <w:lang w:eastAsia="zh-CN"/>
        </w:rPr>
        <w:t>变更</w:t>
      </w:r>
      <w:r>
        <w:rPr>
          <w:rFonts w:hint="default" w:ascii="Times New Roman" w:hAnsi="Times New Roman" w:eastAsia="仿宋_GB2312" w:cs="Times New Roman"/>
          <w:sz w:val="32"/>
        </w:rPr>
        <w:t>登记</w:t>
      </w:r>
      <w:r>
        <w:rPr>
          <w:rFonts w:hint="default" w:ascii="Times New Roman" w:hAnsi="Times New Roman" w:cs="Times New Roman"/>
          <w:sz w:val="32"/>
          <w:lang w:eastAsia="zh-CN"/>
        </w:rPr>
        <w:t>手续</w:t>
      </w:r>
      <w:r>
        <w:rPr>
          <w:rFonts w:hint="default" w:ascii="Times New Roman" w:hAnsi="Times New Roman" w:eastAsia="仿宋_GB2312" w:cs="Times New Roman"/>
          <w:sz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eastAsia="zh-CN"/>
        </w:rPr>
        <w:t>新疆</w:t>
      </w:r>
      <w:r>
        <w:rPr>
          <w:rFonts w:hint="default" w:ascii="Times New Roman" w:hAnsi="Times New Roman" w:eastAsia="仿宋_GB2312" w:cs="Times New Roman"/>
          <w:bCs/>
          <w:sz w:val="32"/>
        </w:rPr>
        <w:t>雪峰</w:t>
      </w:r>
      <w:r>
        <w:rPr>
          <w:rFonts w:hint="default" w:ascii="Times New Roman" w:hAnsi="Times New Roman" w:eastAsia="仿宋_GB2312" w:cs="Times New Roman"/>
          <w:bCs/>
          <w:sz w:val="32"/>
          <w:lang w:eastAsia="zh-CN"/>
        </w:rPr>
        <w:t>通过增资</w:t>
      </w:r>
      <w:r>
        <w:rPr>
          <w:rFonts w:hint="default" w:ascii="Times New Roman" w:hAnsi="Times New Roman" w:eastAsia="仿宋_GB2312" w:cs="Times New Roman"/>
          <w:bCs/>
          <w:sz w:val="32"/>
        </w:rPr>
        <w:t>取得玉象胡杨39.5%股权，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rPr>
        <w:t>属于《反垄断法》第</w:t>
      </w:r>
      <w:r>
        <w:rPr>
          <w:rFonts w:hint="eastAsia" w:ascii="Times New Roman" w:hAnsi="Times New Roman" w:eastAsia="仿宋_GB2312" w:cs="Times New Roman"/>
          <w:kern w:val="2"/>
          <w:sz w:val="32"/>
          <w:szCs w:val="32"/>
          <w:lang w:eastAsia="zh-CN"/>
        </w:rPr>
        <w:t>二十</w:t>
      </w:r>
      <w:r>
        <w:rPr>
          <w:rFonts w:hint="default" w:ascii="Times New Roman" w:hAnsi="Times New Roman" w:eastAsia="仿宋_GB2312" w:cs="Times New Roman"/>
          <w:kern w:val="2"/>
          <w:sz w:val="32"/>
          <w:szCs w:val="32"/>
        </w:rPr>
        <w:t>条规定的经营者集中。</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新疆雪峰2017年全球和中国境内营业额均为</w:t>
      </w:r>
      <w:r>
        <w:rPr>
          <w:rFonts w:hint="eastAsia" w:eastAsia="仿宋_GB2312"/>
          <w:kern w:val="2"/>
          <w:sz w:val="32"/>
          <w:szCs w:val="32"/>
          <w:lang w:val="en-US" w:eastAsia="zh-CN"/>
        </w:rPr>
        <w:t>（略）</w:t>
      </w:r>
      <w:r>
        <w:rPr>
          <w:rFonts w:hint="default" w:ascii="Times New Roman" w:hAnsi="Times New Roman" w:eastAsia="仿宋_GB2312" w:cs="Times New Roman"/>
          <w:kern w:val="2"/>
          <w:sz w:val="32"/>
          <w:szCs w:val="32"/>
        </w:rPr>
        <w:t>；四川金象2017年全球和中国境内营业额均为</w:t>
      </w:r>
      <w:r>
        <w:rPr>
          <w:rFonts w:hint="eastAsia" w:eastAsia="仿宋_GB2312"/>
          <w:kern w:val="2"/>
          <w:sz w:val="32"/>
          <w:szCs w:val="32"/>
          <w:lang w:val="en-US" w:eastAsia="zh-CN"/>
        </w:rPr>
        <w:t>（略）</w:t>
      </w:r>
      <w:r>
        <w:rPr>
          <w:rFonts w:hint="default" w:ascii="Times New Roman" w:hAnsi="Times New Roman" w:eastAsia="仿宋_GB2312" w:cs="Times New Roman"/>
          <w:kern w:val="2"/>
          <w:sz w:val="32"/>
          <w:szCs w:val="32"/>
        </w:rPr>
        <w:t>，达到《国务院关于经营者集中申报标准的规定》第</w:t>
      </w:r>
      <w:r>
        <w:rPr>
          <w:rFonts w:hint="eastAsia"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规定“经营者集中达到国务院规定的申报标准的，经营者应当事先向国务院反垄断执法机构申报，未申报的不得实施集中”。2018年11月28日，</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szCs w:val="32"/>
          <w:lang w:eastAsia="zh-CN"/>
        </w:rPr>
        <w:t>完成股权变更登记手续，</w:t>
      </w:r>
      <w:r>
        <w:rPr>
          <w:rFonts w:hint="default" w:ascii="Times New Roman" w:hAnsi="Times New Roman" w:eastAsia="仿宋_GB2312" w:cs="Times New Roman"/>
          <w:kern w:val="2"/>
          <w:sz w:val="32"/>
          <w:szCs w:val="32"/>
        </w:rPr>
        <w:t>在此之前未向我局申报，违反《反垄断法》第</w:t>
      </w:r>
      <w:r>
        <w:rPr>
          <w:rFonts w:hint="eastAsia"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条，构成未依法申报的经营者集中。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sz w:val="32"/>
          <w:szCs w:val="32"/>
          <w:lang w:eastAsia="zh-CN"/>
        </w:rPr>
        <w:t>新疆雪峰</w:t>
      </w:r>
      <w:r>
        <w:rPr>
          <w:rFonts w:hint="default" w:ascii="Times New Roman" w:hAnsi="Times New Roman" w:eastAsia="仿宋_GB2312" w:cs="Times New Roman"/>
          <w:sz w:val="32"/>
          <w:szCs w:val="32"/>
        </w:rPr>
        <w:t>收购</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szCs w:val="32"/>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新疆雪峰</w:t>
      </w:r>
      <w:r>
        <w:rPr>
          <w:rFonts w:hint="eastAsia" w:eastAsia="仿宋_GB2312" w:cs="Times New Roman"/>
          <w:bCs/>
          <w:color w:val="000000"/>
          <w:kern w:val="2"/>
          <w:sz w:val="32"/>
          <w:szCs w:val="32"/>
          <w:lang w:val="en-US" w:eastAsia="zh-CN"/>
        </w:rPr>
        <w:t>3</w:t>
      </w:r>
      <w:r>
        <w:rPr>
          <w:rFonts w:hint="default" w:ascii="Times New Roman" w:hAnsi="Times New Roman" w:eastAsia="仿宋_GB2312" w:cs="Times New Roman"/>
          <w:bCs/>
          <w:color w:val="000000"/>
          <w:kern w:val="2"/>
          <w:sz w:val="32"/>
          <w:szCs w:val="32"/>
        </w:rPr>
        <w:t>0万元人民币</w:t>
      </w:r>
      <w:r>
        <w:rPr>
          <w:rFonts w:hint="eastAsia"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方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lang w:val="en-US" w:eastAsia="zh-CN"/>
        </w:rPr>
        <w:t>（略）</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r>
        <w:rPr>
          <w:rFonts w:hint="eastAsia" w:eastAsia="仿宋_GB2312"/>
          <w:kern w:val="2"/>
          <w:sz w:val="32"/>
          <w:szCs w:val="32"/>
        </w:rPr>
        <w:t>2020年</w:t>
      </w:r>
      <w:r>
        <w:rPr>
          <w:rFonts w:hint="eastAsia" w:eastAsia="仿宋_GB2312"/>
          <w:kern w:val="2"/>
          <w:sz w:val="32"/>
          <w:szCs w:val="32"/>
          <w:lang w:val="en-US" w:eastAsia="zh-CN"/>
        </w:rPr>
        <w:t>12</w:t>
      </w:r>
      <w:r>
        <w:rPr>
          <w:rFonts w:hint="eastAsia" w:eastAsia="仿宋_GB2312"/>
          <w:kern w:val="2"/>
          <w:sz w:val="32"/>
          <w:szCs w:val="32"/>
        </w:rPr>
        <w:t>月</w:t>
      </w:r>
      <w:r>
        <w:rPr>
          <w:rFonts w:hint="eastAsia" w:eastAsia="仿宋_GB2312"/>
          <w:kern w:val="2"/>
          <w:sz w:val="32"/>
          <w:szCs w:val="32"/>
          <w:lang w:val="en-US" w:eastAsia="zh-CN"/>
        </w:rPr>
        <w:t>30</w:t>
      </w:r>
      <w:r>
        <w:rPr>
          <w:rFonts w:hint="eastAsia" w:eastAsia="仿宋_GB2312"/>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75F674C"/>
    <w:rsid w:val="09AC08F5"/>
    <w:rsid w:val="16657401"/>
    <w:rsid w:val="192053EE"/>
    <w:rsid w:val="1A156921"/>
    <w:rsid w:val="1B095395"/>
    <w:rsid w:val="1D3570B1"/>
    <w:rsid w:val="1F573D93"/>
    <w:rsid w:val="265326DA"/>
    <w:rsid w:val="28C8606C"/>
    <w:rsid w:val="29171A1E"/>
    <w:rsid w:val="31E778A8"/>
    <w:rsid w:val="33B94AAA"/>
    <w:rsid w:val="38043EF0"/>
    <w:rsid w:val="3E082402"/>
    <w:rsid w:val="4ABC40B8"/>
    <w:rsid w:val="4EF957B9"/>
    <w:rsid w:val="4EFD73AF"/>
    <w:rsid w:val="51075873"/>
    <w:rsid w:val="5BDD2331"/>
    <w:rsid w:val="5D4E6DD5"/>
    <w:rsid w:val="78C8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徐霄飞</cp:lastModifiedBy>
  <cp:lastPrinted>2020-12-29T01:03:00Z</cp:lastPrinted>
  <dcterms:modified xsi:type="dcterms:W3CDTF">2021-01-13T07:19:58Z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