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ascii="Times New Roman" w:hAnsi="Times New Roman" w:eastAsia="方正小标宋_GBK"/>
          <w:color w:val="000000"/>
          <w:sz w:val="44"/>
          <w:szCs w:val="44"/>
        </w:rPr>
      </w:pPr>
    </w:p>
    <w:p>
      <w:pPr>
        <w:snapToGrid w:val="0"/>
        <w:spacing w:line="580" w:lineRule="exact"/>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2020</w:t>
      </w:r>
      <w:r>
        <w:rPr>
          <w:rFonts w:ascii="Times New Roman" w:hAnsi="方正小标宋_GBK" w:eastAsia="方正小标宋_GBK"/>
          <w:color w:val="000000"/>
          <w:sz w:val="44"/>
          <w:szCs w:val="44"/>
        </w:rPr>
        <w:t>年江苏省建筑钢结构用钢材产品</w:t>
      </w:r>
    </w:p>
    <w:p>
      <w:pPr>
        <w:snapToGrid w:val="0"/>
        <w:spacing w:line="580" w:lineRule="exact"/>
        <w:jc w:val="center"/>
        <w:rPr>
          <w:rFonts w:ascii="Times New Roman" w:hAnsi="Times New Roman" w:eastAsia="方正小标宋_GBK"/>
          <w:color w:val="000000"/>
          <w:sz w:val="44"/>
          <w:szCs w:val="44"/>
        </w:rPr>
      </w:pPr>
      <w:r>
        <w:rPr>
          <w:rFonts w:ascii="Times New Roman" w:hAnsi="方正小标宋_GBK" w:eastAsia="方正小标宋_GBK"/>
          <w:color w:val="000000"/>
          <w:sz w:val="44"/>
          <w:szCs w:val="44"/>
        </w:rPr>
        <w:t>质量监督抽查实施细则</w:t>
      </w:r>
    </w:p>
    <w:p>
      <w:pPr>
        <w:spacing w:line="580" w:lineRule="exact"/>
        <w:jc w:val="center"/>
        <w:rPr>
          <w:rFonts w:ascii="Times New Roman" w:hAnsi="Times New Roman"/>
          <w:b/>
          <w:sz w:val="36"/>
          <w:szCs w:val="36"/>
        </w:rPr>
      </w:pPr>
    </w:p>
    <w:p>
      <w:pPr>
        <w:spacing w:line="600" w:lineRule="exact"/>
        <w:ind w:firstLine="640" w:firstLineChars="200"/>
        <w:rPr>
          <w:rFonts w:ascii="Times New Roman" w:hAnsi="Times New Roman" w:eastAsia="方正黑体_GBK"/>
          <w:kern w:val="0"/>
          <w:sz w:val="32"/>
          <w:szCs w:val="32"/>
          <w:shd w:val="clear" w:color="auto" w:fill="FFFFFF"/>
        </w:rPr>
      </w:pPr>
      <w:r>
        <w:rPr>
          <w:rFonts w:ascii="Times New Roman" w:hAnsi="Times New Roman" w:eastAsia="黑体"/>
          <w:bCs/>
          <w:sz w:val="32"/>
          <w:szCs w:val="32"/>
        </w:rPr>
        <w:t>1.</w:t>
      </w:r>
      <w:r>
        <w:rPr>
          <w:rFonts w:ascii="Times New Roman" w:hAnsi="Times New Roman" w:eastAsia="方正黑体_GBK"/>
          <w:kern w:val="0"/>
          <w:sz w:val="32"/>
          <w:szCs w:val="32"/>
          <w:shd w:val="clear" w:color="auto" w:fill="FFFFFF"/>
        </w:rPr>
        <w:t>范围</w:t>
      </w:r>
    </w:p>
    <w:p>
      <w:pPr>
        <w:spacing w:line="560" w:lineRule="exact"/>
        <w:ind w:firstLine="640" w:firstLineChars="200"/>
        <w:rPr>
          <w:rFonts w:ascii="Times New Roman" w:hAnsi="Times New Roman" w:eastAsia="仿宋_GB2312"/>
          <w:sz w:val="30"/>
          <w:szCs w:val="32"/>
        </w:rPr>
      </w:pPr>
      <w:r>
        <w:rPr>
          <w:rFonts w:ascii="Times New Roman" w:hAnsi="方正仿宋_GBK" w:eastAsia="方正仿宋_GBK"/>
          <w:sz w:val="32"/>
          <w:szCs w:val="32"/>
        </w:rPr>
        <w:t>本细则适用于江苏省市场监督管理局组织的建筑钢结构用钢材产品质量监督抽查检验。本细则规定了此产品的抽样方法、检验依据、检验项目、检验方法、判定原则、异议处理及复检。</w:t>
      </w:r>
    </w:p>
    <w:p>
      <w:pPr>
        <w:overflowPunct w:val="0"/>
        <w:autoSpaceDE w:val="0"/>
        <w:autoSpaceDN w:val="0"/>
        <w:adjustRightInd w:val="0"/>
        <w:snapToGrid w:val="0"/>
        <w:spacing w:line="580" w:lineRule="exact"/>
        <w:ind w:firstLine="640" w:firstLineChars="200"/>
        <w:rPr>
          <w:rFonts w:ascii="Times New Roman" w:hAnsi="Times New Roman" w:eastAsia="方正黑体_GBK"/>
          <w:kern w:val="0"/>
          <w:sz w:val="32"/>
          <w:szCs w:val="32"/>
          <w:shd w:val="clear" w:color="auto" w:fill="FFFFFF"/>
        </w:rPr>
      </w:pPr>
      <w:r>
        <w:rPr>
          <w:rFonts w:ascii="Times New Roman" w:hAnsi="Times New Roman" w:eastAsia="方正黑体_GBK"/>
          <w:kern w:val="0"/>
          <w:sz w:val="32"/>
          <w:szCs w:val="32"/>
          <w:shd w:val="clear" w:color="auto" w:fill="FFFFFF"/>
        </w:rPr>
        <w:t>2.抽样方法</w:t>
      </w:r>
    </w:p>
    <w:p>
      <w:pPr>
        <w:spacing w:line="580" w:lineRule="exact"/>
        <w:ind w:firstLine="643" w:firstLineChars="200"/>
        <w:rPr>
          <w:rFonts w:ascii="Times New Roman" w:hAnsi="Times New Roman" w:eastAsia="方正仿宋_GBK"/>
          <w:b/>
          <w:bCs/>
          <w:sz w:val="32"/>
          <w:szCs w:val="32"/>
        </w:rPr>
      </w:pPr>
      <w:r>
        <w:rPr>
          <w:rFonts w:ascii="Times New Roman" w:hAnsi="Times New Roman" w:eastAsia="方正仿宋_GBK"/>
          <w:b/>
          <w:bCs/>
          <w:kern w:val="0"/>
          <w:sz w:val="32"/>
          <w:szCs w:val="32"/>
          <w:shd w:val="clear" w:color="auto" w:fill="FFFFFF"/>
        </w:rPr>
        <w:t>2.1</w:t>
      </w:r>
      <w:r>
        <w:rPr>
          <w:rFonts w:ascii="Times New Roman" w:hAnsi="方正仿宋_GBK" w:eastAsia="方正仿宋_GBK"/>
          <w:b/>
          <w:bCs/>
          <w:sz w:val="32"/>
          <w:szCs w:val="32"/>
        </w:rPr>
        <w:t>实体店采样</w:t>
      </w:r>
    </w:p>
    <w:p>
      <w:pPr>
        <w:spacing w:line="58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在市场实体店抽样时，抽查样品基数满足抽样数量即可。在待销产品中随机抽取，索取发票、收据等购样凭据留证。</w:t>
      </w:r>
    </w:p>
    <w:p>
      <w:pPr>
        <w:spacing w:line="56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建筑钢结构用钢材监督抽查产品范围包括：包括优质碳素结构钢、碳素结构钢、热轧型钢、低合金高强度结构钢、碳素结构钢和低合金结构钢热轧钢板和钢带、冷弯型钢、结构用冷弯空心型钢、直缝电焊钢管等产品。</w:t>
      </w:r>
    </w:p>
    <w:p>
      <w:pPr>
        <w:spacing w:line="56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具体抽查样品数量如下表</w:t>
      </w:r>
      <w:r>
        <w:rPr>
          <w:rFonts w:ascii="Times New Roman" w:hAnsi="Times New Roman" w:eastAsia="方正仿宋_GBK"/>
          <w:sz w:val="32"/>
          <w:szCs w:val="32"/>
        </w:rPr>
        <w:t>1</w:t>
      </w:r>
      <w:r>
        <w:rPr>
          <w:rFonts w:ascii="Times New Roman" w:hAnsi="方正仿宋_GBK" w:eastAsia="方正仿宋_GBK"/>
          <w:sz w:val="32"/>
          <w:szCs w:val="32"/>
        </w:rPr>
        <w:t>所示。</w:t>
      </w:r>
    </w:p>
    <w:p>
      <w:pPr>
        <w:snapToGrid w:val="0"/>
        <w:jc w:val="center"/>
        <w:rPr>
          <w:rFonts w:ascii="Times New Roman" w:hAnsi="Times New Roman" w:eastAsia="方正仿宋_GBK"/>
          <w:sz w:val="24"/>
        </w:rPr>
      </w:pPr>
      <w:r>
        <w:rPr>
          <w:rFonts w:ascii="Times New Roman" w:hAnsi="Times New Roman" w:eastAsia="方正仿宋_GBK"/>
          <w:sz w:val="24"/>
        </w:rPr>
        <w:t>表1</w:t>
      </w:r>
      <w:r>
        <w:fldChar w:fldCharType="begin"/>
      </w:r>
      <w:r>
        <w:instrText xml:space="preserve"> HYPERLINK "http://www.fg-furnace.com/fgzz.html" \t "_blank" </w:instrText>
      </w:r>
      <w:r>
        <w:fldChar w:fldCharType="separate"/>
      </w:r>
      <w:r>
        <w:rPr>
          <w:rFonts w:ascii="Times New Roman" w:hAnsi="Times New Roman" w:eastAsia="方正仿宋_GBK"/>
          <w:sz w:val="24"/>
        </w:rPr>
        <w:t>建筑钢结构用钢材</w:t>
      </w:r>
      <w:r>
        <w:rPr>
          <w:rFonts w:ascii="Times New Roman" w:hAnsi="Times New Roman" w:eastAsia="方正仿宋_GBK"/>
          <w:sz w:val="24"/>
        </w:rPr>
        <w:fldChar w:fldCharType="end"/>
      </w:r>
      <w:r>
        <w:rPr>
          <w:rFonts w:ascii="Times New Roman" w:hAnsi="Times New Roman" w:eastAsia="方正仿宋_GBK"/>
          <w:sz w:val="24"/>
        </w:rPr>
        <w:t>产品抽样数量要求</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1675"/>
        <w:gridCol w:w="3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产品种类</w:t>
            </w:r>
          </w:p>
        </w:tc>
        <w:tc>
          <w:tcPr>
            <w:tcW w:w="1675"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截取样品数量</w:t>
            </w:r>
          </w:p>
        </w:tc>
        <w:tc>
          <w:tcPr>
            <w:tcW w:w="3620"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优质碳素结构钢</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2根上各截取2段×0.6m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4段样品逐个编号标记，并一一对应（如1-a，1-b），标记a的2段样品为检验样品，标记b的2段样品为备用样品。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碳素结构钢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热轧型钢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合金结构钢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冷拔异型钢管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冷弯型钢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结构用冷弯空心型钢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直缝电焊钢管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冷拉异型钢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桥梁用结构钢</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1张（卷）上截取2块0.5×0.5m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2块样品逐个编号标记，并一一对应（如1-a，1-b），标记a的1段样品为检验样品，标记b的1段样品为备用样品。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低合金高强度结构钢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结构钢热轧钢板和钢带</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耐候结构钢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埋弧焊钢管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连续热镀锌和锌合金镀层钢板及钢带</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1张（卷）上截取2段×1m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2段样品逐个编号标记，并一一对应（如1-a，1-b），标记a的1段样品为检验样品，标记b的1段样品为备用样品。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冷轧电镀锡薄钢板</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不锈钢冷轧钢板和钢带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碳素结构钢和低合金结构钢热轧钢带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易切削结构钢</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彩色涂层钢板及钢带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建筑用压型钢板</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bl>
    <w:p>
      <w:pPr>
        <w:spacing w:line="580" w:lineRule="exact"/>
        <w:ind w:firstLine="640" w:firstLineChars="200"/>
        <w:rPr>
          <w:rFonts w:ascii="Times New Roman" w:hAnsi="Times New Roman" w:eastAsia="方正仿宋_GBK"/>
          <w:kern w:val="0"/>
          <w:sz w:val="32"/>
          <w:szCs w:val="32"/>
          <w:shd w:val="clear" w:color="auto" w:fill="FFFFFF"/>
        </w:rPr>
      </w:pPr>
      <w:r>
        <w:rPr>
          <w:rFonts w:ascii="Times New Roman" w:hAnsi="Times New Roman" w:eastAsia="方正仿宋_GBK"/>
          <w:kern w:val="0"/>
          <w:sz w:val="32"/>
          <w:szCs w:val="32"/>
          <w:shd w:val="clear" w:color="auto" w:fill="FFFFFF"/>
        </w:rPr>
        <w:t>抽样工作由不少于2名工作人员共同完成。备用样品按要求带回至承检机构，采样过程均需拍照留证。一经采样，立即封样，任何人不得调换。</w:t>
      </w:r>
    </w:p>
    <w:p>
      <w:pPr>
        <w:spacing w:line="580" w:lineRule="exact"/>
        <w:ind w:firstLine="643" w:firstLineChars="200"/>
        <w:rPr>
          <w:rFonts w:ascii="Times New Roman" w:hAnsi="Times New Roman" w:eastAsia="方正仿宋_GBK"/>
          <w:b/>
          <w:bCs/>
          <w:kern w:val="0"/>
          <w:sz w:val="32"/>
          <w:szCs w:val="32"/>
          <w:shd w:val="clear" w:color="auto" w:fill="FFFFFF"/>
        </w:rPr>
      </w:pPr>
      <w:r>
        <w:rPr>
          <w:rFonts w:ascii="Times New Roman" w:hAnsi="Times New Roman" w:eastAsia="方正仿宋_GBK"/>
          <w:b/>
          <w:bCs/>
          <w:kern w:val="0"/>
          <w:sz w:val="32"/>
          <w:szCs w:val="32"/>
          <w:shd w:val="clear" w:color="auto" w:fill="FFFFFF"/>
        </w:rPr>
        <w:t>2.2生产企业采样</w:t>
      </w:r>
    </w:p>
    <w:p>
      <w:pPr>
        <w:spacing w:line="58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在生产企业抽样时，抽查样品基数应满足抽样代表性要求，在企业成品库内的合格待销产品中随机抽取。</w:t>
      </w:r>
    </w:p>
    <w:p>
      <w:pPr>
        <w:spacing w:line="56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建筑钢结构用钢材监督抽查产品范围包括：包括优质碳素结构钢、碳素结构钢、热轧型钢、低合金高强度结构钢、碳素结构钢和低合金结构钢热轧钢板和钢带、冷弯型钢、结构用冷弯空心型钢、直缝电焊钢管等产品。</w:t>
      </w:r>
    </w:p>
    <w:p>
      <w:pPr>
        <w:spacing w:line="560" w:lineRule="exact"/>
        <w:ind w:firstLine="640" w:firstLineChars="200"/>
        <w:rPr>
          <w:rFonts w:ascii="Times New Roman" w:hAnsi="Times New Roman" w:eastAsia="方正仿宋_GBK"/>
          <w:sz w:val="32"/>
          <w:szCs w:val="32"/>
        </w:rPr>
      </w:pPr>
      <w:r>
        <w:rPr>
          <w:rFonts w:ascii="Times New Roman" w:hAnsi="方正仿宋_GBK" w:eastAsia="方正仿宋_GBK"/>
          <w:sz w:val="32"/>
          <w:szCs w:val="32"/>
        </w:rPr>
        <w:t>具体抽查样品数量如下表</w:t>
      </w:r>
      <w:r>
        <w:rPr>
          <w:rFonts w:ascii="Times New Roman" w:hAnsi="Times New Roman" w:eastAsia="方正仿宋_GBK"/>
          <w:sz w:val="32"/>
          <w:szCs w:val="32"/>
        </w:rPr>
        <w:t>2</w:t>
      </w:r>
      <w:r>
        <w:rPr>
          <w:rFonts w:ascii="Times New Roman" w:hAnsi="方正仿宋_GBK" w:eastAsia="方正仿宋_GBK"/>
          <w:sz w:val="32"/>
          <w:szCs w:val="32"/>
        </w:rPr>
        <w:t>所示。</w:t>
      </w:r>
    </w:p>
    <w:p>
      <w:pPr>
        <w:spacing w:line="48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2</w:t>
      </w:r>
      <w:r>
        <w:fldChar w:fldCharType="begin"/>
      </w:r>
      <w:r>
        <w:instrText xml:space="preserve"> HYPERLINK "http://www.fg-furnace.com/fgzz.html" \t "_blank" </w:instrText>
      </w:r>
      <w:r>
        <w:fldChar w:fldCharType="separate"/>
      </w:r>
      <w:r>
        <w:rPr>
          <w:rFonts w:ascii="Times New Roman" w:hAnsi="Times New Roman" w:eastAsia="方正仿宋_GBK"/>
          <w:sz w:val="24"/>
        </w:rPr>
        <w:t>建筑钢结构用钢材</w:t>
      </w:r>
      <w:r>
        <w:rPr>
          <w:rFonts w:ascii="Times New Roman" w:hAnsi="Times New Roman" w:eastAsia="方正仿宋_GBK"/>
          <w:sz w:val="24"/>
        </w:rPr>
        <w:fldChar w:fldCharType="end"/>
      </w:r>
      <w:r>
        <w:rPr>
          <w:rFonts w:ascii="Times New Roman" w:hAnsi="Times New Roman" w:eastAsia="方正仿宋_GBK"/>
          <w:sz w:val="24"/>
        </w:rPr>
        <w:t>产品抽样数量要求</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1675"/>
        <w:gridCol w:w="3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产品种类</w:t>
            </w:r>
          </w:p>
        </w:tc>
        <w:tc>
          <w:tcPr>
            <w:tcW w:w="1675"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截取样品数量</w:t>
            </w:r>
          </w:p>
        </w:tc>
        <w:tc>
          <w:tcPr>
            <w:tcW w:w="3620"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优质碳素结构钢</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2根上各截取2段×0.6m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4段样品逐个编号标记，并一一对应（如1-a，1-b），标记a的2段样品为检验样品，标记b的2段样品为备用样品。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碳素结构钢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热轧型钢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合金结构钢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冷拔异型钢管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冷弯型钢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结构用冷弯空心型钢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直缝电焊钢管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冷拉异型钢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桥梁用结构钢</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1张（卷）上截取2块0.5×0.5m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2块样品逐个编号标记，并一一对应（如1-a，1-b），标记a的1段样品为检验样品，标记b的1段样品为备用样品。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低合金高强度结构钢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结构钢热轧钢板和钢带</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耐候结构钢</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埋弧焊钢管</w:t>
            </w:r>
          </w:p>
        </w:tc>
        <w:tc>
          <w:tcPr>
            <w:tcW w:w="1675" w:type="dxa"/>
            <w:vMerge w:val="continue"/>
            <w:vAlign w:val="center"/>
          </w:tcPr>
          <w:p>
            <w:pPr>
              <w:snapToGrid w:val="0"/>
              <w:jc w:val="center"/>
              <w:rPr>
                <w:rFonts w:ascii="Times New Roman" w:hAnsi="Times New Roman" w:eastAsia="方正仿宋_GBK"/>
                <w:sz w:val="24"/>
              </w:rPr>
            </w:pPr>
          </w:p>
        </w:tc>
        <w:tc>
          <w:tcPr>
            <w:tcW w:w="3620"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连续热镀锌和锌合金镀层钢板及钢带</w:t>
            </w:r>
          </w:p>
        </w:tc>
        <w:tc>
          <w:tcPr>
            <w:tcW w:w="1675"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1张（卷）上截取2段×1m</w:t>
            </w:r>
          </w:p>
        </w:tc>
        <w:tc>
          <w:tcPr>
            <w:tcW w:w="362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2段样品逐个编号标记，并一一对应（如1-a，1-b），标记a的1段样品为检验样品，标记b的1段样品为备用样品。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冷轧电镀锡薄钢板</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不锈钢冷轧钢板和钢带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碳素结构钢和低合金结构钢热轧钢带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易切削结构钢</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彩色涂层钢板及钢带</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227" w:type="dxa"/>
            <w:vAlign w:val="center"/>
          </w:tcPr>
          <w:p>
            <w:pPr>
              <w:spacing w:line="480" w:lineRule="auto"/>
              <w:jc w:val="center"/>
              <w:rPr>
                <w:rFonts w:ascii="Times New Roman" w:hAnsi="Times New Roman" w:eastAsia="方正仿宋_GBK"/>
                <w:sz w:val="24"/>
              </w:rPr>
            </w:pPr>
            <w:r>
              <w:rPr>
                <w:rFonts w:ascii="Times New Roman" w:hAnsi="Times New Roman" w:eastAsia="方正仿宋_GBK"/>
                <w:sz w:val="24"/>
              </w:rPr>
              <w:t>建筑用压型钢板</w:t>
            </w:r>
          </w:p>
        </w:tc>
        <w:tc>
          <w:tcPr>
            <w:tcW w:w="1675" w:type="dxa"/>
            <w:vMerge w:val="continue"/>
            <w:vAlign w:val="center"/>
          </w:tcPr>
          <w:p>
            <w:pPr>
              <w:spacing w:line="480" w:lineRule="auto"/>
              <w:jc w:val="center"/>
              <w:rPr>
                <w:rFonts w:ascii="Times New Roman" w:hAnsi="Times New Roman"/>
                <w:sz w:val="18"/>
                <w:szCs w:val="18"/>
              </w:rPr>
            </w:pPr>
          </w:p>
        </w:tc>
        <w:tc>
          <w:tcPr>
            <w:tcW w:w="3620" w:type="dxa"/>
            <w:vMerge w:val="continue"/>
            <w:vAlign w:val="center"/>
          </w:tcPr>
          <w:p>
            <w:pPr>
              <w:jc w:val="center"/>
              <w:rPr>
                <w:rFonts w:ascii="Times New Roman" w:hAnsi="Times New Roman"/>
                <w:sz w:val="18"/>
                <w:szCs w:val="18"/>
              </w:rPr>
            </w:pPr>
          </w:p>
        </w:tc>
      </w:tr>
    </w:tbl>
    <w:p>
      <w:pPr>
        <w:spacing w:line="580" w:lineRule="exact"/>
        <w:ind w:firstLine="640" w:firstLineChars="200"/>
        <w:rPr>
          <w:rFonts w:ascii="Times New Roman" w:hAnsi="Times New Roman" w:eastAsia="方正仿宋_GBK"/>
          <w:kern w:val="0"/>
          <w:sz w:val="32"/>
          <w:szCs w:val="32"/>
          <w:shd w:val="clear" w:color="auto" w:fill="FFFFFF"/>
        </w:rPr>
      </w:pPr>
      <w:r>
        <w:rPr>
          <w:rFonts w:ascii="Times New Roman" w:hAnsi="Times New Roman" w:eastAsia="方正仿宋_GBK"/>
          <w:kern w:val="0"/>
          <w:sz w:val="32"/>
          <w:szCs w:val="32"/>
          <w:shd w:val="clear" w:color="auto" w:fill="FFFFFF"/>
        </w:rPr>
        <w:t>抽样工作由不少于2名工作人员共同完成，采样过程均需拍照留证。一经采样，立即封样，任何人不得调换。</w:t>
      </w:r>
      <w:bookmarkStart w:id="0" w:name="_GoBack"/>
      <w:bookmarkEnd w:id="0"/>
    </w:p>
    <w:p>
      <w:pPr>
        <w:spacing w:line="580" w:lineRule="exact"/>
        <w:ind w:firstLine="640" w:firstLineChars="200"/>
        <w:rPr>
          <w:rFonts w:ascii="Times New Roman" w:hAnsi="Times New Roman"/>
          <w:b/>
          <w:bCs/>
          <w:sz w:val="32"/>
          <w:szCs w:val="32"/>
        </w:rPr>
      </w:pPr>
      <w:r>
        <w:rPr>
          <w:rFonts w:ascii="Times New Roman" w:hAnsi="Times New Roman" w:eastAsia="方正仿宋_GBK"/>
          <w:kern w:val="0"/>
          <w:sz w:val="32"/>
          <w:szCs w:val="32"/>
          <w:shd w:val="clear" w:color="auto" w:fill="FFFFFF"/>
        </w:rPr>
        <w:t>3.</w:t>
      </w:r>
      <w:r>
        <w:rPr>
          <w:rFonts w:ascii="Times New Roman" w:hAnsi="Times New Roman" w:eastAsia="方正黑体_GBK"/>
          <w:kern w:val="0"/>
          <w:sz w:val="32"/>
          <w:szCs w:val="32"/>
          <w:shd w:val="clear" w:color="auto" w:fill="FFFFFF"/>
        </w:rPr>
        <w:t>检验依据</w:t>
      </w:r>
    </w:p>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3</w:t>
      </w:r>
      <w:r>
        <w:rPr>
          <w:rFonts w:ascii="Times New Roman" w:hAnsi="Times New Roman" w:eastAsia="方正仿宋_GBK"/>
          <w:sz w:val="24"/>
        </w:rPr>
        <w:t xml:space="preserve">  优质碳素结构钢检验项目分类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699-2015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223、GB/T 4336、GB/T 21023、GB/T 21024、 GB/T 21025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699-2015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699-2015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布氏硬度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699-2015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699-2015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4</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碳素结构钢检验项目分类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700-2006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223、GB/T 4336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700-2006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700-2006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700-2006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5</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热轧型钢检验项目分类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706-2016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223、GB/T 4336、GB/T 21023、GB/T 21024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706-2016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706-2016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706-2016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6</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合金结构钢检验项目分类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3077-2015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223、GB/T 4336、GB/T 21023、GB/T 21024、GB/T 11261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3077-2015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3077-2015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布氏硬度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3077-2015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231.1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7</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冷拔异型钢管检验项目分类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3094-2012</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3094-2012</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3094-2012</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8</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冷弯型钢检验项目分类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6725-2017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6725-2017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6725-2017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9</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结构用冷弯空心型钢检验项目分类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6728-2017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6728-2017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6728-2017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10</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直缝电焊钢管检验项目分类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焊缝拉伸试验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压扁试验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6</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7</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扩口试验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8</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镀锌层均匀性试验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1839、GB/T 13912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9</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镀锌层重量</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1839、GB/T 13912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10</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镀锌层附着力试验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13793-2016</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244、GB/T 246</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11</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桥梁用结构钢检验项目分类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714-2015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714-2015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714-2015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714-2015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Z向钢厚度方向断面收缩率</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714-2015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5313</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12</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低合金高强度结构钢检验项目分类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氮含量</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氢含量</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6</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7</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厚度方向性能试验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1591-2018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5313</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13</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碳素结构钢和低合金结构钢 热轧钢板和钢带检验项目分类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3274-2017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3274-2017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3274-2017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3274-2017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14</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耐候结构钢检验项目分类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20125</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晶粒度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GB/T6394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6</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非金属夹杂物</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4171-2008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GB/T10561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15</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连续热镀锌和锌合金镀层钢板及钢带检验项目分类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2518-2019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2518-2019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镀层重量</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2518-2019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1839</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16</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冷轧电镀锡薄钢板检验项目分类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2520-2017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2520-2017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2520-2017</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230.1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17</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不锈钢冷轧钢板和钢带检验项目分类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3280-2015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11170</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3280-2015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3280-2015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3280-2015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耐腐蚀性能</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3280-2015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4334</w:t>
            </w:r>
          </w:p>
        </w:tc>
      </w:tr>
    </w:tbl>
    <w:p>
      <w:pPr>
        <w:snapToGrid w:val="0"/>
        <w:jc w:val="center"/>
        <w:rPr>
          <w:rFonts w:ascii="Times New Roman" w:hAnsi="Times New Roman" w:eastAsia="方正仿宋_GBK"/>
          <w:sz w:val="24"/>
        </w:rPr>
      </w:pPr>
    </w:p>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 xml:space="preserve">18 </w:t>
      </w:r>
      <w:r>
        <w:rPr>
          <w:rFonts w:ascii="Times New Roman" w:hAnsi="Times New Roman" w:eastAsia="方正仿宋_GBK"/>
          <w:sz w:val="24"/>
        </w:rPr>
        <w:t>碳素结构钢和低合金结构钢热轧钢带检验项目分类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3524-2015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3524-2015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3524-2015</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19</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易切削结构钢检验项目分类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8731-2008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8731-2008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冲击试验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8731-2008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布氏硬度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8731-2008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231.1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20</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彩色涂层钢板及钢带检验项目分类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涂层厚度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铅笔硬度</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4</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反向冲击</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5</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光泽</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GB/T13448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6</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12754-2019</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21</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建筑用压型钢板检验项目分类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12755-2008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12755-2008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bl>
    <w:p>
      <w:pPr>
        <w:snapToGrid w:val="0"/>
        <w:spacing w:line="560" w:lineRule="exact"/>
        <w:jc w:val="center"/>
        <w:rPr>
          <w:rFonts w:ascii="Times New Roman" w:hAnsi="Times New Roman" w:eastAsia="方正仿宋_GBK"/>
          <w:sz w:val="24"/>
        </w:rPr>
      </w:pPr>
      <w:r>
        <w:rPr>
          <w:rFonts w:ascii="Times New Roman" w:hAnsi="Times New Roman" w:eastAsia="方正仿宋_GBK"/>
          <w:sz w:val="24"/>
        </w:rPr>
        <w:t>表</w:t>
      </w:r>
      <w:r>
        <w:rPr>
          <w:rFonts w:hint="eastAsia" w:ascii="Times New Roman" w:hAnsi="Times New Roman" w:eastAsia="方正仿宋_GBK"/>
          <w:sz w:val="24"/>
        </w:rPr>
        <w:t>22</w:t>
      </w:r>
      <w:r>
        <w:rPr>
          <w:rFonts w:ascii="Times New Roman" w:hAnsi="Times New Roman" w:eastAsia="方正仿宋_GBK"/>
          <w:sz w:val="24"/>
        </w:rPr>
        <w:t xml:space="preserve">  </w:t>
      </w:r>
      <w:r>
        <w:rPr>
          <w:rFonts w:hint="eastAsia" w:ascii="Times New Roman" w:hAnsi="Times New Roman" w:eastAsia="方正仿宋_GBK"/>
          <w:sz w:val="24"/>
        </w:rPr>
        <w:t xml:space="preserve"> </w:t>
      </w:r>
      <w:r>
        <w:rPr>
          <w:rFonts w:ascii="Times New Roman" w:hAnsi="Times New Roman" w:eastAsia="方正仿宋_GBK"/>
          <w:sz w:val="24"/>
        </w:rPr>
        <w:t>普通流体输送管道用埋弧焊钢管检验项目分类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76"/>
        <w:gridCol w:w="2268"/>
        <w:gridCol w:w="3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序号</w:t>
            </w:r>
          </w:p>
        </w:tc>
        <w:tc>
          <w:tcPr>
            <w:tcW w:w="1876"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检验项目</w:t>
            </w:r>
          </w:p>
        </w:tc>
        <w:tc>
          <w:tcPr>
            <w:tcW w:w="2268"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判定依据</w:t>
            </w:r>
          </w:p>
        </w:tc>
        <w:tc>
          <w:tcPr>
            <w:tcW w:w="3661" w:type="dxa"/>
            <w:vMerge w:val="restart"/>
            <w:vAlign w:val="center"/>
          </w:tcPr>
          <w:p>
            <w:pPr>
              <w:snapToGrid w:val="0"/>
              <w:jc w:val="center"/>
              <w:rPr>
                <w:rFonts w:ascii="Times New Roman" w:hAnsi="Times New Roman" w:eastAsia="方正仿宋_GBK"/>
                <w:sz w:val="24"/>
              </w:rPr>
            </w:pPr>
            <w:r>
              <w:rPr>
                <w:rFonts w:ascii="Times New Roman" w:hAnsi="Times New Roman" w:eastAsia="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blHeader/>
          <w:jc w:val="center"/>
        </w:trPr>
        <w:tc>
          <w:tcPr>
            <w:tcW w:w="800" w:type="dxa"/>
            <w:vMerge w:val="continue"/>
            <w:vAlign w:val="center"/>
          </w:tcPr>
          <w:p>
            <w:pPr>
              <w:snapToGrid w:val="0"/>
              <w:jc w:val="center"/>
              <w:rPr>
                <w:rFonts w:ascii="Times New Roman" w:hAnsi="Times New Roman" w:eastAsia="方正仿宋_GBK"/>
                <w:sz w:val="24"/>
              </w:rPr>
            </w:pPr>
          </w:p>
        </w:tc>
        <w:tc>
          <w:tcPr>
            <w:tcW w:w="1876" w:type="dxa"/>
            <w:vMerge w:val="continue"/>
            <w:vAlign w:val="center"/>
          </w:tcPr>
          <w:p>
            <w:pPr>
              <w:snapToGrid w:val="0"/>
              <w:jc w:val="center"/>
              <w:rPr>
                <w:rFonts w:ascii="Times New Roman" w:hAnsi="Times New Roman" w:eastAsia="方正仿宋_GBK"/>
                <w:sz w:val="24"/>
              </w:rPr>
            </w:pPr>
          </w:p>
        </w:tc>
        <w:tc>
          <w:tcPr>
            <w:tcW w:w="2268" w:type="dxa"/>
            <w:vMerge w:val="continue"/>
            <w:vAlign w:val="center"/>
          </w:tcPr>
          <w:p>
            <w:pPr>
              <w:snapToGrid w:val="0"/>
              <w:jc w:val="center"/>
              <w:rPr>
                <w:rFonts w:ascii="Times New Roman" w:hAnsi="Times New Roman" w:eastAsia="方正仿宋_GBK"/>
                <w:sz w:val="24"/>
              </w:rPr>
            </w:pPr>
          </w:p>
        </w:tc>
        <w:tc>
          <w:tcPr>
            <w:tcW w:w="3661" w:type="dxa"/>
            <w:vMerge w:val="continue"/>
            <w:vAlign w:val="center"/>
          </w:tcPr>
          <w:p>
            <w:pPr>
              <w:snapToGrid w:val="0"/>
              <w:jc w:val="center"/>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1</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化学成分</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SY/T 5037-2018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4336</w:t>
            </w:r>
          </w:p>
          <w:p>
            <w:pPr>
              <w:snapToGrid w:val="0"/>
              <w:jc w:val="center"/>
              <w:rPr>
                <w:rFonts w:ascii="Times New Roman" w:hAnsi="Times New Roman" w:eastAsia="方正仿宋_GBK"/>
                <w:sz w:val="24"/>
              </w:rPr>
            </w:pPr>
            <w:r>
              <w:rPr>
                <w:rFonts w:ascii="Times New Roman" w:hAnsi="Times New Roman" w:eastAsia="方正仿宋_GBK"/>
                <w:sz w:val="24"/>
              </w:rPr>
              <w:t>GB/T 20123</w:t>
            </w:r>
          </w:p>
          <w:p>
            <w:pPr>
              <w:snapToGrid w:val="0"/>
              <w:jc w:val="center"/>
              <w:rPr>
                <w:rFonts w:ascii="Times New Roman" w:hAnsi="Times New Roman" w:eastAsia="方正仿宋_GBK"/>
                <w:sz w:val="24"/>
              </w:rPr>
            </w:pPr>
            <w:r>
              <w:rPr>
                <w:rFonts w:ascii="Times New Roman" w:hAnsi="Times New Roman" w:eastAsia="方正仿宋_GBK"/>
                <w:sz w:val="24"/>
              </w:rPr>
              <w:t>GB/T 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2</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拉伸试验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SY/T 5037-2018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0" w:type="dxa"/>
            <w:vAlign w:val="center"/>
          </w:tcPr>
          <w:p>
            <w:pPr>
              <w:snapToGrid w:val="0"/>
              <w:jc w:val="center"/>
              <w:rPr>
                <w:rFonts w:ascii="Times New Roman" w:hAnsi="Times New Roman" w:eastAsia="方正仿宋_GBK"/>
                <w:sz w:val="24"/>
              </w:rPr>
            </w:pPr>
            <w:r>
              <w:rPr>
                <w:rFonts w:hint="eastAsia" w:ascii="Times New Roman" w:hAnsi="Times New Roman" w:eastAsia="方正仿宋_GBK"/>
                <w:sz w:val="24"/>
              </w:rPr>
              <w:t>3</w:t>
            </w:r>
          </w:p>
        </w:tc>
        <w:tc>
          <w:tcPr>
            <w:tcW w:w="1876"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弯曲试验</w:t>
            </w:r>
          </w:p>
        </w:tc>
        <w:tc>
          <w:tcPr>
            <w:tcW w:w="2268"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SY/T 5037-2018</w:t>
            </w:r>
          </w:p>
        </w:tc>
        <w:tc>
          <w:tcPr>
            <w:tcW w:w="3661" w:type="dxa"/>
            <w:vAlign w:val="center"/>
          </w:tcPr>
          <w:p>
            <w:pPr>
              <w:snapToGrid w:val="0"/>
              <w:jc w:val="center"/>
              <w:rPr>
                <w:rFonts w:ascii="Times New Roman" w:hAnsi="Times New Roman" w:eastAsia="方正仿宋_GBK"/>
                <w:sz w:val="24"/>
              </w:rPr>
            </w:pPr>
            <w:r>
              <w:rPr>
                <w:rFonts w:ascii="Times New Roman" w:hAnsi="Times New Roman" w:eastAsia="方正仿宋_GBK"/>
                <w:sz w:val="24"/>
              </w:rPr>
              <w:t>GB/T 232</w:t>
            </w:r>
          </w:p>
        </w:tc>
      </w:tr>
    </w:tbl>
    <w:p>
      <w:pPr>
        <w:spacing w:line="580" w:lineRule="exact"/>
        <w:ind w:firstLine="480" w:firstLineChars="150"/>
        <w:rPr>
          <w:rFonts w:ascii="Times New Roman" w:hAnsi="Times New Roman" w:eastAsia="方正仿宋_GBK"/>
          <w:sz w:val="32"/>
          <w:szCs w:val="32"/>
        </w:rPr>
      </w:pPr>
      <w:r>
        <w:rPr>
          <w:rFonts w:ascii="Times New Roman" w:hAnsi="方正仿宋_GBK" w:eastAsia="方正仿宋_GBK"/>
          <w:sz w:val="32"/>
          <w:szCs w:val="32"/>
        </w:rPr>
        <w:t>检验方法包括相关产品标准及试验方法标准。</w:t>
      </w:r>
    </w:p>
    <w:p>
      <w:pPr>
        <w:spacing w:line="580" w:lineRule="exact"/>
        <w:ind w:firstLine="560"/>
        <w:rPr>
          <w:rFonts w:ascii="Times New Roman" w:hAnsi="Times New Roman"/>
          <w:sz w:val="32"/>
          <w:szCs w:val="32"/>
        </w:rPr>
      </w:pPr>
      <w:r>
        <w:rPr>
          <w:rFonts w:ascii="Times New Roman" w:hAnsi="方正仿宋_GBK" w:eastAsia="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ascii="Times New Roman" w:hAnsi="Times New Roman" w:eastAsia="方正仿宋_GBK"/>
          <w:kern w:val="0"/>
          <w:sz w:val="32"/>
          <w:szCs w:val="32"/>
          <w:shd w:val="clear" w:color="auto" w:fill="FFFFFF"/>
        </w:rPr>
      </w:pPr>
      <w:r>
        <w:rPr>
          <w:rFonts w:ascii="Times New Roman" w:hAnsi="Times New Roman" w:eastAsia="方正黑体_GBK"/>
          <w:kern w:val="0"/>
          <w:sz w:val="32"/>
          <w:szCs w:val="32"/>
          <w:shd w:val="clear" w:color="auto" w:fill="FFFFFF"/>
        </w:rPr>
        <w:t>4.判定规则</w:t>
      </w:r>
    </w:p>
    <w:p>
      <w:pPr>
        <w:spacing w:line="580" w:lineRule="exact"/>
        <w:ind w:firstLine="560"/>
        <w:rPr>
          <w:rFonts w:ascii="Times New Roman" w:hAnsi="Times New Roman" w:eastAsia="方正仿宋_GBK"/>
          <w:b/>
          <w:bCs/>
          <w:sz w:val="32"/>
          <w:szCs w:val="32"/>
        </w:rPr>
      </w:pPr>
      <w:r>
        <w:rPr>
          <w:rFonts w:ascii="Times New Roman" w:hAnsi="Times New Roman" w:eastAsia="方正仿宋_GBK"/>
          <w:b/>
          <w:bCs/>
          <w:kern w:val="0"/>
          <w:sz w:val="32"/>
          <w:szCs w:val="32"/>
          <w:shd w:val="clear" w:color="auto" w:fill="FFFFFF"/>
        </w:rPr>
        <w:t>4.1</w:t>
      </w:r>
      <w:r>
        <w:rPr>
          <w:rFonts w:ascii="Times New Roman" w:hAnsi="方正仿宋_GBK" w:eastAsia="方正仿宋_GBK"/>
          <w:b/>
          <w:bCs/>
          <w:sz w:val="32"/>
          <w:szCs w:val="32"/>
        </w:rPr>
        <w:t>依据标准</w:t>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699-2015《优质碳素结构钢》</w:t>
      </w:r>
      <w:r>
        <w:rPr>
          <w:rFonts w:ascii="Times New Roman" w:hAnsi="方正仿宋_GBK" w:eastAsia="方正仿宋_GBK"/>
          <w:sz w:val="32"/>
          <w:szCs w:val="32"/>
        </w:rPr>
        <w:fldChar w:fldCharType="end"/>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700-2006《碳素结构钢》</w:t>
      </w:r>
      <w:r>
        <w:rPr>
          <w:rFonts w:ascii="Times New Roman" w:hAnsi="方正仿宋_GBK" w:eastAsia="方正仿宋_GBK"/>
          <w:sz w:val="32"/>
          <w:szCs w:val="32"/>
        </w:rPr>
        <w:fldChar w:fldCharType="end"/>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706-2016《热轧型钢》</w:t>
      </w:r>
    </w:p>
    <w:p>
      <w:pPr>
        <w:adjustRightInd w:val="0"/>
        <w:snapToGrid w:val="0"/>
        <w:ind w:left="1"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714-2015《桥梁用结构钢》</w:t>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1591-2018《低合金高强度结构钢》</w:t>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2518-2019《连续热镀锌和锌合金镀层钢板及钢带》</w:t>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2520-2017《冷轧电镀锡薄钢板》</w:t>
      </w:r>
      <w:r>
        <w:rPr>
          <w:rFonts w:ascii="Times New Roman" w:hAnsi="方正仿宋_GBK" w:eastAsia="方正仿宋_GBK"/>
          <w:sz w:val="32"/>
          <w:szCs w:val="32"/>
        </w:rPr>
        <w:fldChar w:fldCharType="end"/>
      </w:r>
    </w:p>
    <w:p>
      <w:pPr>
        <w:adjustRightInd w:val="0"/>
        <w:snapToGrid w:val="0"/>
        <w:ind w:firstLine="480" w:firstLineChars="150"/>
        <w:rPr>
          <w:rFonts w:ascii="Times New Roman" w:hAnsi="方正仿宋_GBK" w:eastAsia="方正仿宋_GBK"/>
          <w:sz w:val="32"/>
          <w:szCs w:val="32"/>
        </w:rPr>
      </w:pPr>
      <w:r>
        <w:rPr>
          <w:rFonts w:ascii="Times New Roman" w:hAnsi="方正仿宋_GBK" w:eastAsia="方正仿宋_GBK"/>
          <w:sz w:val="32"/>
          <w:szCs w:val="32"/>
        </w:rPr>
        <w:t>GB/T 3077-2015《合金结构钢》</w:t>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3094-2012《冷拔异型钢管》</w:t>
      </w:r>
      <w:r>
        <w:rPr>
          <w:rFonts w:ascii="Times New Roman" w:hAnsi="方正仿宋_GBK" w:eastAsia="方正仿宋_GBK"/>
          <w:sz w:val="32"/>
          <w:szCs w:val="32"/>
        </w:rPr>
        <w:fldChar w:fldCharType="end"/>
      </w:r>
    </w:p>
    <w:p>
      <w:pPr>
        <w:adjustRightInd w:val="0"/>
        <w:snapToGrid w:val="0"/>
        <w:ind w:left="176" w:leftChars="84" w:right="-197" w:rightChars="-94" w:firstLine="210" w:firstLineChars="1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3274-2017《碳素结构钢和低合金结构钢 热轧钢板和钢带》</w:t>
      </w:r>
      <w:r>
        <w:rPr>
          <w:rFonts w:ascii="Times New Roman" w:hAnsi="方正仿宋_GBK" w:eastAsia="方正仿宋_GBK"/>
          <w:sz w:val="32"/>
          <w:szCs w:val="32"/>
        </w:rPr>
        <w:fldChar w:fldCharType="end"/>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3280-2015《不锈钢冷轧钢板和钢带》</w:t>
      </w:r>
      <w:r>
        <w:rPr>
          <w:rFonts w:ascii="Times New Roman" w:hAnsi="方正仿宋_GBK" w:eastAsia="方正仿宋_GBK"/>
          <w:sz w:val="32"/>
          <w:szCs w:val="32"/>
        </w:rPr>
        <w:fldChar w:fldCharType="end"/>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3524-2015《碳素结构钢和低合金结构钢热轧钢带 》</w:t>
      </w:r>
      <w:r>
        <w:rPr>
          <w:rFonts w:ascii="Times New Roman" w:hAnsi="方正仿宋_GBK" w:eastAsia="方正仿宋_GBK"/>
          <w:sz w:val="32"/>
          <w:szCs w:val="32"/>
        </w:rPr>
        <w:fldChar w:fldCharType="end"/>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4171-2008《耐候结构钢》</w:t>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6725-2017《冷弯型钢通用技术要求》</w:t>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6728-2017《结构用冷弯空心型钢》</w:t>
      </w:r>
      <w:r>
        <w:rPr>
          <w:rFonts w:ascii="Times New Roman" w:hAnsi="方正仿宋_GBK" w:eastAsia="方正仿宋_GBK"/>
          <w:sz w:val="32"/>
          <w:szCs w:val="32"/>
        </w:rPr>
        <w:fldChar w:fldCharType="end"/>
      </w:r>
    </w:p>
    <w:p>
      <w:pPr>
        <w:adjustRightInd w:val="0"/>
        <w:snapToGrid w:val="0"/>
        <w:ind w:right="-197" w:rightChars="-94" w:firstLine="480" w:firstLineChars="150"/>
        <w:rPr>
          <w:rFonts w:ascii="Times New Roman" w:hAnsi="方正仿宋_GBK" w:eastAsia="方正仿宋_GBK"/>
          <w:sz w:val="32"/>
          <w:szCs w:val="32"/>
        </w:rPr>
      </w:pPr>
      <w:r>
        <w:rPr>
          <w:rFonts w:ascii="Times New Roman" w:hAnsi="方正仿宋_GBK" w:eastAsia="方正仿宋_GBK"/>
          <w:sz w:val="32"/>
          <w:szCs w:val="32"/>
        </w:rPr>
        <w:t>GB/T 8731-2008《易切削结构钢》</w:t>
      </w:r>
    </w:p>
    <w:p>
      <w:pPr>
        <w:adjustRightInd w:val="0"/>
        <w:snapToGrid w:val="0"/>
        <w:ind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12754-2019《彩色涂层钢板及钢带》</w:t>
      </w:r>
      <w:r>
        <w:rPr>
          <w:rFonts w:ascii="Times New Roman" w:hAnsi="方正仿宋_GBK" w:eastAsia="方正仿宋_GBK"/>
          <w:sz w:val="32"/>
          <w:szCs w:val="32"/>
        </w:rPr>
        <w:fldChar w:fldCharType="end"/>
      </w:r>
    </w:p>
    <w:p>
      <w:pPr>
        <w:adjustRightInd w:val="0"/>
        <w:snapToGrid w:val="0"/>
        <w:ind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12755-2008《建筑用压型钢板》</w:t>
      </w:r>
      <w:r>
        <w:rPr>
          <w:rFonts w:ascii="Times New Roman" w:hAnsi="方正仿宋_GBK" w:eastAsia="方正仿宋_GBK"/>
          <w:sz w:val="32"/>
          <w:szCs w:val="32"/>
        </w:rPr>
        <w:fldChar w:fldCharType="end"/>
      </w:r>
    </w:p>
    <w:p>
      <w:pPr>
        <w:adjustRightInd w:val="0"/>
        <w:snapToGrid w:val="0"/>
        <w:ind w:left="1" w:right="-197" w:rightChars="-94" w:firstLine="420" w:firstLineChars="20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GB/T 13793-2016《直缝电焊钢管》</w:t>
      </w:r>
      <w:r>
        <w:rPr>
          <w:rFonts w:ascii="Times New Roman" w:hAnsi="方正仿宋_GBK" w:eastAsia="方正仿宋_GBK"/>
          <w:sz w:val="32"/>
          <w:szCs w:val="32"/>
        </w:rPr>
        <w:fldChar w:fldCharType="end"/>
      </w:r>
    </w:p>
    <w:p>
      <w:pPr>
        <w:adjustRightInd w:val="0"/>
        <w:snapToGrid w:val="0"/>
        <w:ind w:left="2521" w:leftChars="210" w:right="-197" w:rightChars="-94" w:hanging="2080" w:hangingChars="650"/>
        <w:rPr>
          <w:rFonts w:ascii="Times New Roman" w:hAnsi="方正仿宋_GBK" w:eastAsia="方正仿宋_GBK"/>
          <w:sz w:val="32"/>
          <w:szCs w:val="32"/>
        </w:rPr>
      </w:pPr>
      <w:r>
        <w:rPr>
          <w:rFonts w:ascii="Times New Roman" w:hAnsi="方正仿宋_GBK" w:eastAsia="方正仿宋_GBK"/>
          <w:sz w:val="32"/>
          <w:szCs w:val="32"/>
        </w:rPr>
        <w:t>GB/T 13912-2002《金属覆盖层钢铁制件热浸镀锌层技术要求及试验方法》</w:t>
      </w:r>
    </w:p>
    <w:p>
      <w:pPr>
        <w:adjustRightInd w:val="0"/>
        <w:snapToGrid w:val="0"/>
        <w:ind w:left="1" w:right="-197" w:rightChars="-94" w:firstLine="525" w:firstLineChars="25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YB/T 5327-2006《护栏波形梁用型钢》</w:t>
      </w:r>
      <w:r>
        <w:rPr>
          <w:rFonts w:ascii="Times New Roman" w:hAnsi="方正仿宋_GBK" w:eastAsia="方正仿宋_GBK"/>
          <w:sz w:val="32"/>
          <w:szCs w:val="32"/>
        </w:rPr>
        <w:fldChar w:fldCharType="end"/>
      </w:r>
    </w:p>
    <w:p>
      <w:pPr>
        <w:adjustRightInd w:val="0"/>
        <w:snapToGrid w:val="0"/>
        <w:ind w:left="1" w:right="-197" w:rightChars="-94" w:firstLine="525" w:firstLineChars="25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YB/T 5346-2006《冷拉异型钢》</w:t>
      </w:r>
      <w:r>
        <w:rPr>
          <w:rFonts w:ascii="Times New Roman" w:hAnsi="方正仿宋_GBK" w:eastAsia="方正仿宋_GBK"/>
          <w:sz w:val="32"/>
          <w:szCs w:val="32"/>
        </w:rPr>
        <w:fldChar w:fldCharType="end"/>
      </w:r>
    </w:p>
    <w:p>
      <w:pPr>
        <w:adjustRightInd w:val="0"/>
        <w:snapToGrid w:val="0"/>
        <w:ind w:right="-197" w:rightChars="-94" w:firstLine="525" w:firstLineChars="250"/>
        <w:rPr>
          <w:rFonts w:ascii="Times New Roman" w:hAnsi="方正仿宋_GBK" w:eastAsia="方正仿宋_GBK"/>
          <w:sz w:val="32"/>
          <w:szCs w:val="32"/>
        </w:rPr>
      </w:pPr>
      <w:r>
        <w:fldChar w:fldCharType="begin"/>
      </w:r>
      <w:r>
        <w:instrText xml:space="preserve"> HYPERLINK "http://192.168.80.6:8000/JSAcceptanceOfLF_T" </w:instrText>
      </w:r>
      <w:r>
        <w:fldChar w:fldCharType="separate"/>
      </w:r>
      <w:r>
        <w:rPr>
          <w:rFonts w:ascii="Times New Roman" w:hAnsi="方正仿宋_GBK" w:eastAsia="方正仿宋_GBK"/>
          <w:sz w:val="32"/>
          <w:szCs w:val="32"/>
        </w:rPr>
        <w:t>SY/T 5037-2018《普通流体输送管道用埋弧焊钢管》</w:t>
      </w:r>
      <w:r>
        <w:rPr>
          <w:rFonts w:ascii="Times New Roman" w:hAnsi="方正仿宋_GBK" w:eastAsia="方正仿宋_GBK"/>
          <w:sz w:val="32"/>
          <w:szCs w:val="32"/>
        </w:rPr>
        <w:fldChar w:fldCharType="end"/>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现行有效的企业标准、团体标准、地方标准及产品明示质量要求</w:t>
      </w:r>
    </w:p>
    <w:p>
      <w:pPr>
        <w:spacing w:line="580" w:lineRule="exact"/>
        <w:ind w:firstLine="560"/>
        <w:rPr>
          <w:rFonts w:ascii="Times New Roman" w:hAnsi="Times New Roman" w:eastAsia="方正仿宋_GBK"/>
          <w:b/>
          <w:bCs/>
          <w:sz w:val="32"/>
          <w:szCs w:val="32"/>
        </w:rPr>
      </w:pPr>
      <w:r>
        <w:rPr>
          <w:rFonts w:ascii="Times New Roman" w:hAnsi="Times New Roman" w:eastAsia="方正仿宋_GBK"/>
          <w:b/>
          <w:bCs/>
          <w:kern w:val="0"/>
          <w:sz w:val="32"/>
          <w:szCs w:val="32"/>
          <w:shd w:val="clear" w:color="auto" w:fill="FFFFFF"/>
        </w:rPr>
        <w:t>4.2</w:t>
      </w:r>
      <w:r>
        <w:rPr>
          <w:rFonts w:ascii="Times New Roman" w:hAnsi="方正仿宋_GBK" w:eastAsia="方正仿宋_GBK"/>
          <w:b/>
          <w:bCs/>
          <w:sz w:val="32"/>
          <w:szCs w:val="32"/>
        </w:rPr>
        <w:t>判定原则</w:t>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经检验，检验项目全部合格，判定为被抽查产品合格；检验项目中任一项或一项以上不合格，判定为被抽查产品不合格。</w:t>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若被检产品明示的质量要求高于本细则中检验项目依据的标准要求时，应按被检产品明示的质量要求判定。</w:t>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若被检产品明示的质量要求低于本细则中检验项目依据的推荐性标准要求时，应按照推荐性标准要求判定。</w:t>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ascii="Times New Roman" w:hAnsi="Times New Roman" w:eastAsia="方正仿宋_GBK"/>
          <w:sz w:val="32"/>
          <w:szCs w:val="32"/>
        </w:rPr>
      </w:pPr>
      <w:r>
        <w:rPr>
          <w:rFonts w:ascii="Times New Roman" w:hAnsi="方正仿宋_GBK" w:eastAsia="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Times New Roman" w:hAnsi="Times New Roman" w:eastAsia="方正黑体_GBK"/>
          <w:kern w:val="0"/>
          <w:sz w:val="32"/>
          <w:szCs w:val="32"/>
          <w:shd w:val="clear" w:color="auto" w:fill="FFFFFF"/>
        </w:rPr>
      </w:pPr>
      <w:r>
        <w:rPr>
          <w:rFonts w:ascii="Times New Roman" w:hAnsi="Times New Roman" w:eastAsia="方正黑体_GBK"/>
          <w:kern w:val="0"/>
          <w:sz w:val="32"/>
          <w:szCs w:val="32"/>
          <w:shd w:val="clear" w:color="auto" w:fill="FFFFFF"/>
        </w:rPr>
        <w:t>5.异议处理</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5.1对监督抽查程序有异议的，由任务下达部门核查相关证据后维持或者撤销原检验结果。</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5.3对样品信息有异议的，任务下达部门核查样品确认情况和生产企业提交证明材料后，维持或者撤销原检验结果。</w:t>
      </w:r>
    </w:p>
    <w:p>
      <w:pPr>
        <w:spacing w:line="580" w:lineRule="exact"/>
        <w:ind w:firstLine="640" w:firstLineChars="200"/>
        <w:rPr>
          <w:rFonts w:ascii="Times New Roman" w:hAnsi="Times New Roman" w:eastAsia="方正仿宋_GBK"/>
          <w:sz w:val="32"/>
          <w:szCs w:val="32"/>
        </w:rPr>
      </w:pPr>
    </w:p>
    <w:p>
      <w:pPr>
        <w:spacing w:line="580" w:lineRule="exact"/>
        <w:ind w:firstLine="560"/>
        <w:rPr>
          <w:rFonts w:ascii="Times New Roman" w:hAnsi="Times New Roman"/>
          <w:color w:val="000000"/>
          <w:sz w:val="32"/>
          <w:szCs w:val="32"/>
        </w:rPr>
      </w:pPr>
    </w:p>
    <w:p>
      <w:pPr>
        <w:spacing w:line="360" w:lineRule="auto"/>
        <w:rPr>
          <w:rFonts w:ascii="Times New Roman" w:hAnsi="Times New Roman"/>
          <w:sz w:val="28"/>
          <w:szCs w:val="28"/>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3C0041" w:csb1="A00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B23319"/>
    <w:rsid w:val="0001130B"/>
    <w:rsid w:val="00015F08"/>
    <w:rsid w:val="0002244E"/>
    <w:rsid w:val="00030067"/>
    <w:rsid w:val="00030FC7"/>
    <w:rsid w:val="00041807"/>
    <w:rsid w:val="0004210C"/>
    <w:rsid w:val="00046ACB"/>
    <w:rsid w:val="00052600"/>
    <w:rsid w:val="000527D3"/>
    <w:rsid w:val="00054A03"/>
    <w:rsid w:val="000607FF"/>
    <w:rsid w:val="00061D08"/>
    <w:rsid w:val="00062664"/>
    <w:rsid w:val="00063F1E"/>
    <w:rsid w:val="00064DDF"/>
    <w:rsid w:val="0006746D"/>
    <w:rsid w:val="00067F88"/>
    <w:rsid w:val="00072AAC"/>
    <w:rsid w:val="00076118"/>
    <w:rsid w:val="00076376"/>
    <w:rsid w:val="00086D33"/>
    <w:rsid w:val="00094AB9"/>
    <w:rsid w:val="00095BEA"/>
    <w:rsid w:val="000A01F1"/>
    <w:rsid w:val="000A22D6"/>
    <w:rsid w:val="000A7C8A"/>
    <w:rsid w:val="000B2B6D"/>
    <w:rsid w:val="000B45BF"/>
    <w:rsid w:val="000C46FA"/>
    <w:rsid w:val="000E00BF"/>
    <w:rsid w:val="000E28CD"/>
    <w:rsid w:val="000F0C7B"/>
    <w:rsid w:val="00127D80"/>
    <w:rsid w:val="00127E6B"/>
    <w:rsid w:val="00131787"/>
    <w:rsid w:val="001331D2"/>
    <w:rsid w:val="00134B9F"/>
    <w:rsid w:val="001361E2"/>
    <w:rsid w:val="00136EFA"/>
    <w:rsid w:val="00145921"/>
    <w:rsid w:val="00152358"/>
    <w:rsid w:val="0017102F"/>
    <w:rsid w:val="001724A1"/>
    <w:rsid w:val="00172F78"/>
    <w:rsid w:val="00176623"/>
    <w:rsid w:val="0018019D"/>
    <w:rsid w:val="00184632"/>
    <w:rsid w:val="0019108D"/>
    <w:rsid w:val="00191944"/>
    <w:rsid w:val="00192377"/>
    <w:rsid w:val="001A53CF"/>
    <w:rsid w:val="001A59E5"/>
    <w:rsid w:val="001B5C4F"/>
    <w:rsid w:val="001C4FC8"/>
    <w:rsid w:val="001D4265"/>
    <w:rsid w:val="001D573A"/>
    <w:rsid w:val="001E0CBE"/>
    <w:rsid w:val="001E2538"/>
    <w:rsid w:val="001E2957"/>
    <w:rsid w:val="001E3FF8"/>
    <w:rsid w:val="001F6C73"/>
    <w:rsid w:val="001F7D0E"/>
    <w:rsid w:val="002015CC"/>
    <w:rsid w:val="00202098"/>
    <w:rsid w:val="00210E02"/>
    <w:rsid w:val="00211183"/>
    <w:rsid w:val="0021479A"/>
    <w:rsid w:val="00214889"/>
    <w:rsid w:val="002216BE"/>
    <w:rsid w:val="002316AD"/>
    <w:rsid w:val="002328AB"/>
    <w:rsid w:val="00240E5C"/>
    <w:rsid w:val="002420BB"/>
    <w:rsid w:val="002426A3"/>
    <w:rsid w:val="00245BE5"/>
    <w:rsid w:val="0025037B"/>
    <w:rsid w:val="00252341"/>
    <w:rsid w:val="00260CEA"/>
    <w:rsid w:val="0026236F"/>
    <w:rsid w:val="0026368E"/>
    <w:rsid w:val="00270494"/>
    <w:rsid w:val="00282FA6"/>
    <w:rsid w:val="0028328A"/>
    <w:rsid w:val="00294069"/>
    <w:rsid w:val="002B6690"/>
    <w:rsid w:val="002C194B"/>
    <w:rsid w:val="002C1983"/>
    <w:rsid w:val="002D171E"/>
    <w:rsid w:val="002D1E2B"/>
    <w:rsid w:val="002D4B27"/>
    <w:rsid w:val="00304985"/>
    <w:rsid w:val="003057CD"/>
    <w:rsid w:val="0031024B"/>
    <w:rsid w:val="0031094B"/>
    <w:rsid w:val="00311274"/>
    <w:rsid w:val="00323B78"/>
    <w:rsid w:val="00330047"/>
    <w:rsid w:val="00331002"/>
    <w:rsid w:val="00335B99"/>
    <w:rsid w:val="00341E80"/>
    <w:rsid w:val="00347DAF"/>
    <w:rsid w:val="0035079C"/>
    <w:rsid w:val="003563DB"/>
    <w:rsid w:val="003575C3"/>
    <w:rsid w:val="003656B5"/>
    <w:rsid w:val="00384FD0"/>
    <w:rsid w:val="00391F14"/>
    <w:rsid w:val="003936D8"/>
    <w:rsid w:val="003A2DF8"/>
    <w:rsid w:val="003A351C"/>
    <w:rsid w:val="003C1F18"/>
    <w:rsid w:val="003C4B25"/>
    <w:rsid w:val="003D28D3"/>
    <w:rsid w:val="003D6C2A"/>
    <w:rsid w:val="003E4064"/>
    <w:rsid w:val="003E5B15"/>
    <w:rsid w:val="003F1E74"/>
    <w:rsid w:val="003F3213"/>
    <w:rsid w:val="003F7F67"/>
    <w:rsid w:val="00434879"/>
    <w:rsid w:val="00436027"/>
    <w:rsid w:val="00446525"/>
    <w:rsid w:val="0045292F"/>
    <w:rsid w:val="00452A6F"/>
    <w:rsid w:val="004550E4"/>
    <w:rsid w:val="004574F0"/>
    <w:rsid w:val="00457CB9"/>
    <w:rsid w:val="00460692"/>
    <w:rsid w:val="004638DB"/>
    <w:rsid w:val="00465115"/>
    <w:rsid w:val="00465999"/>
    <w:rsid w:val="00466033"/>
    <w:rsid w:val="0046754C"/>
    <w:rsid w:val="00482674"/>
    <w:rsid w:val="00486BD9"/>
    <w:rsid w:val="00486F04"/>
    <w:rsid w:val="004870E1"/>
    <w:rsid w:val="004907A3"/>
    <w:rsid w:val="004A3289"/>
    <w:rsid w:val="004B4BFC"/>
    <w:rsid w:val="004C0DA1"/>
    <w:rsid w:val="004C1FB2"/>
    <w:rsid w:val="004D1A84"/>
    <w:rsid w:val="004D2E64"/>
    <w:rsid w:val="004D748E"/>
    <w:rsid w:val="004D7C3A"/>
    <w:rsid w:val="00501F2A"/>
    <w:rsid w:val="00510A87"/>
    <w:rsid w:val="00521A71"/>
    <w:rsid w:val="00523920"/>
    <w:rsid w:val="00525B6D"/>
    <w:rsid w:val="00537C80"/>
    <w:rsid w:val="00552CE9"/>
    <w:rsid w:val="00553599"/>
    <w:rsid w:val="00557E0B"/>
    <w:rsid w:val="00567E85"/>
    <w:rsid w:val="00570EED"/>
    <w:rsid w:val="005758F0"/>
    <w:rsid w:val="00580258"/>
    <w:rsid w:val="00581383"/>
    <w:rsid w:val="00592F1E"/>
    <w:rsid w:val="005953F6"/>
    <w:rsid w:val="005969DE"/>
    <w:rsid w:val="005A3B63"/>
    <w:rsid w:val="005B4050"/>
    <w:rsid w:val="005B4606"/>
    <w:rsid w:val="005C0BFD"/>
    <w:rsid w:val="005E06BA"/>
    <w:rsid w:val="005E1AD7"/>
    <w:rsid w:val="005E3523"/>
    <w:rsid w:val="005E3916"/>
    <w:rsid w:val="005E4D8D"/>
    <w:rsid w:val="005F328E"/>
    <w:rsid w:val="006014BD"/>
    <w:rsid w:val="00602BFE"/>
    <w:rsid w:val="00610242"/>
    <w:rsid w:val="00610A6A"/>
    <w:rsid w:val="0061344B"/>
    <w:rsid w:val="00626AD4"/>
    <w:rsid w:val="00630DAB"/>
    <w:rsid w:val="00635D0A"/>
    <w:rsid w:val="006361EE"/>
    <w:rsid w:val="00640709"/>
    <w:rsid w:val="00651C73"/>
    <w:rsid w:val="006538E9"/>
    <w:rsid w:val="0067557E"/>
    <w:rsid w:val="006812CD"/>
    <w:rsid w:val="00685DA2"/>
    <w:rsid w:val="0068716B"/>
    <w:rsid w:val="006913AC"/>
    <w:rsid w:val="006A2161"/>
    <w:rsid w:val="006A6E27"/>
    <w:rsid w:val="006A7525"/>
    <w:rsid w:val="006B6E9E"/>
    <w:rsid w:val="006B7F21"/>
    <w:rsid w:val="006C019C"/>
    <w:rsid w:val="006C4C9D"/>
    <w:rsid w:val="006D4694"/>
    <w:rsid w:val="006D60CF"/>
    <w:rsid w:val="006E1245"/>
    <w:rsid w:val="006F6A29"/>
    <w:rsid w:val="006F7E16"/>
    <w:rsid w:val="0070590B"/>
    <w:rsid w:val="0070673A"/>
    <w:rsid w:val="0071192F"/>
    <w:rsid w:val="00713D13"/>
    <w:rsid w:val="00714032"/>
    <w:rsid w:val="007225D8"/>
    <w:rsid w:val="00723BDE"/>
    <w:rsid w:val="00731C54"/>
    <w:rsid w:val="00737577"/>
    <w:rsid w:val="00737CF3"/>
    <w:rsid w:val="00744B2A"/>
    <w:rsid w:val="00747916"/>
    <w:rsid w:val="007530DA"/>
    <w:rsid w:val="00771733"/>
    <w:rsid w:val="007812FC"/>
    <w:rsid w:val="00781A96"/>
    <w:rsid w:val="007916D5"/>
    <w:rsid w:val="00791FF2"/>
    <w:rsid w:val="007920EC"/>
    <w:rsid w:val="007A2F04"/>
    <w:rsid w:val="007A3D31"/>
    <w:rsid w:val="007C2D64"/>
    <w:rsid w:val="007D0F61"/>
    <w:rsid w:val="007D59FD"/>
    <w:rsid w:val="007D6664"/>
    <w:rsid w:val="007E30C2"/>
    <w:rsid w:val="007F544A"/>
    <w:rsid w:val="008175E3"/>
    <w:rsid w:val="00825D64"/>
    <w:rsid w:val="00827D95"/>
    <w:rsid w:val="00836118"/>
    <w:rsid w:val="00836177"/>
    <w:rsid w:val="00837AFB"/>
    <w:rsid w:val="00845D00"/>
    <w:rsid w:val="0085178A"/>
    <w:rsid w:val="00866BC1"/>
    <w:rsid w:val="00873CEB"/>
    <w:rsid w:val="008767BE"/>
    <w:rsid w:val="00885003"/>
    <w:rsid w:val="00885F61"/>
    <w:rsid w:val="00887355"/>
    <w:rsid w:val="00894EC2"/>
    <w:rsid w:val="0089545E"/>
    <w:rsid w:val="00896242"/>
    <w:rsid w:val="008976ED"/>
    <w:rsid w:val="008C62D3"/>
    <w:rsid w:val="008D0104"/>
    <w:rsid w:val="008E0704"/>
    <w:rsid w:val="008E40F0"/>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6560B"/>
    <w:rsid w:val="009700DE"/>
    <w:rsid w:val="00971D5E"/>
    <w:rsid w:val="009738D1"/>
    <w:rsid w:val="009803A1"/>
    <w:rsid w:val="00981501"/>
    <w:rsid w:val="00983C46"/>
    <w:rsid w:val="0098489E"/>
    <w:rsid w:val="00986116"/>
    <w:rsid w:val="00987221"/>
    <w:rsid w:val="009945AB"/>
    <w:rsid w:val="00996C6C"/>
    <w:rsid w:val="009A280B"/>
    <w:rsid w:val="009A3C68"/>
    <w:rsid w:val="009A4B42"/>
    <w:rsid w:val="009A51EE"/>
    <w:rsid w:val="009B281B"/>
    <w:rsid w:val="009B30EB"/>
    <w:rsid w:val="009B431D"/>
    <w:rsid w:val="009D04F0"/>
    <w:rsid w:val="009D1F66"/>
    <w:rsid w:val="009D4C29"/>
    <w:rsid w:val="009E13EF"/>
    <w:rsid w:val="009F570E"/>
    <w:rsid w:val="00A00C69"/>
    <w:rsid w:val="00A23E55"/>
    <w:rsid w:val="00A40F2C"/>
    <w:rsid w:val="00A50169"/>
    <w:rsid w:val="00A5051A"/>
    <w:rsid w:val="00A53C43"/>
    <w:rsid w:val="00A62E89"/>
    <w:rsid w:val="00A65980"/>
    <w:rsid w:val="00A81E4D"/>
    <w:rsid w:val="00A85146"/>
    <w:rsid w:val="00A91BE3"/>
    <w:rsid w:val="00AA61A4"/>
    <w:rsid w:val="00AB2A2A"/>
    <w:rsid w:val="00AB4E2D"/>
    <w:rsid w:val="00AB75DF"/>
    <w:rsid w:val="00AD05AC"/>
    <w:rsid w:val="00AD76F5"/>
    <w:rsid w:val="00AE1EFC"/>
    <w:rsid w:val="00AE32F2"/>
    <w:rsid w:val="00AF64D5"/>
    <w:rsid w:val="00B039E6"/>
    <w:rsid w:val="00B061D5"/>
    <w:rsid w:val="00B11192"/>
    <w:rsid w:val="00B127EA"/>
    <w:rsid w:val="00B143B9"/>
    <w:rsid w:val="00B148B2"/>
    <w:rsid w:val="00B20E1F"/>
    <w:rsid w:val="00B23319"/>
    <w:rsid w:val="00B35AFF"/>
    <w:rsid w:val="00B35C19"/>
    <w:rsid w:val="00B41EE8"/>
    <w:rsid w:val="00B41F2D"/>
    <w:rsid w:val="00B43E44"/>
    <w:rsid w:val="00B52FF5"/>
    <w:rsid w:val="00B5365C"/>
    <w:rsid w:val="00B6292E"/>
    <w:rsid w:val="00B63EDE"/>
    <w:rsid w:val="00B66626"/>
    <w:rsid w:val="00B75878"/>
    <w:rsid w:val="00B8300A"/>
    <w:rsid w:val="00B970C1"/>
    <w:rsid w:val="00B978B8"/>
    <w:rsid w:val="00BA1032"/>
    <w:rsid w:val="00BB1151"/>
    <w:rsid w:val="00BD7ED8"/>
    <w:rsid w:val="00BE5836"/>
    <w:rsid w:val="00BF6E4B"/>
    <w:rsid w:val="00BF70BE"/>
    <w:rsid w:val="00C10D63"/>
    <w:rsid w:val="00C14802"/>
    <w:rsid w:val="00C152A4"/>
    <w:rsid w:val="00C2380B"/>
    <w:rsid w:val="00C26CC5"/>
    <w:rsid w:val="00C26DF9"/>
    <w:rsid w:val="00C32493"/>
    <w:rsid w:val="00C368DF"/>
    <w:rsid w:val="00C5064B"/>
    <w:rsid w:val="00C551BC"/>
    <w:rsid w:val="00C56445"/>
    <w:rsid w:val="00C606CA"/>
    <w:rsid w:val="00C630B8"/>
    <w:rsid w:val="00C65F3B"/>
    <w:rsid w:val="00C6632F"/>
    <w:rsid w:val="00C66E77"/>
    <w:rsid w:val="00C729E0"/>
    <w:rsid w:val="00C81BDA"/>
    <w:rsid w:val="00C86069"/>
    <w:rsid w:val="00C87AA0"/>
    <w:rsid w:val="00C91B9B"/>
    <w:rsid w:val="00C9481E"/>
    <w:rsid w:val="00C95E12"/>
    <w:rsid w:val="00CA2460"/>
    <w:rsid w:val="00CA5F16"/>
    <w:rsid w:val="00CB1737"/>
    <w:rsid w:val="00CB26FF"/>
    <w:rsid w:val="00CC4233"/>
    <w:rsid w:val="00CC4784"/>
    <w:rsid w:val="00CC6522"/>
    <w:rsid w:val="00CE391D"/>
    <w:rsid w:val="00CE5FC9"/>
    <w:rsid w:val="00CE6480"/>
    <w:rsid w:val="00CE6DB4"/>
    <w:rsid w:val="00D01FC2"/>
    <w:rsid w:val="00D06BC8"/>
    <w:rsid w:val="00D10F37"/>
    <w:rsid w:val="00D34E28"/>
    <w:rsid w:val="00D351FB"/>
    <w:rsid w:val="00D35ED2"/>
    <w:rsid w:val="00D367BD"/>
    <w:rsid w:val="00D43255"/>
    <w:rsid w:val="00D45551"/>
    <w:rsid w:val="00D5292A"/>
    <w:rsid w:val="00D536EB"/>
    <w:rsid w:val="00D624F0"/>
    <w:rsid w:val="00D71785"/>
    <w:rsid w:val="00D74CD7"/>
    <w:rsid w:val="00D80376"/>
    <w:rsid w:val="00DA6AE4"/>
    <w:rsid w:val="00DA6B3D"/>
    <w:rsid w:val="00DC3507"/>
    <w:rsid w:val="00DC6650"/>
    <w:rsid w:val="00DD247E"/>
    <w:rsid w:val="00E20638"/>
    <w:rsid w:val="00E20692"/>
    <w:rsid w:val="00E22D1B"/>
    <w:rsid w:val="00E23FB4"/>
    <w:rsid w:val="00E272CE"/>
    <w:rsid w:val="00E30472"/>
    <w:rsid w:val="00E518C3"/>
    <w:rsid w:val="00E53A97"/>
    <w:rsid w:val="00E54496"/>
    <w:rsid w:val="00E727B1"/>
    <w:rsid w:val="00E74E6E"/>
    <w:rsid w:val="00E8032B"/>
    <w:rsid w:val="00E83123"/>
    <w:rsid w:val="00E870F9"/>
    <w:rsid w:val="00E93A64"/>
    <w:rsid w:val="00E96E83"/>
    <w:rsid w:val="00EA13D3"/>
    <w:rsid w:val="00EA7BEF"/>
    <w:rsid w:val="00EB00C7"/>
    <w:rsid w:val="00EB7568"/>
    <w:rsid w:val="00EE2AA1"/>
    <w:rsid w:val="00EF5F33"/>
    <w:rsid w:val="00F10DCD"/>
    <w:rsid w:val="00F14F1F"/>
    <w:rsid w:val="00F16DF8"/>
    <w:rsid w:val="00F20A60"/>
    <w:rsid w:val="00F21761"/>
    <w:rsid w:val="00F24352"/>
    <w:rsid w:val="00F269EA"/>
    <w:rsid w:val="00F31D19"/>
    <w:rsid w:val="00F71EF0"/>
    <w:rsid w:val="00F756CF"/>
    <w:rsid w:val="00F77220"/>
    <w:rsid w:val="00F77DD7"/>
    <w:rsid w:val="00F85098"/>
    <w:rsid w:val="00F964CB"/>
    <w:rsid w:val="00FA1545"/>
    <w:rsid w:val="00FA1644"/>
    <w:rsid w:val="00FB01A5"/>
    <w:rsid w:val="00FB401C"/>
    <w:rsid w:val="00FB4044"/>
    <w:rsid w:val="00FB491F"/>
    <w:rsid w:val="00FB4A92"/>
    <w:rsid w:val="00FB76A5"/>
    <w:rsid w:val="00FC55FE"/>
    <w:rsid w:val="00FC5A64"/>
    <w:rsid w:val="00FE12A1"/>
    <w:rsid w:val="00FF0ECF"/>
    <w:rsid w:val="00FF2EF5"/>
    <w:rsid w:val="00FF6D5D"/>
    <w:rsid w:val="00FF7426"/>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3D3B79"/>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A871246"/>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8"/>
    <w:qFormat/>
    <w:uiPriority w:val="99"/>
    <w:pPr>
      <w:keepNext/>
      <w:keepLines/>
      <w:spacing w:before="340" w:after="330" w:line="578" w:lineRule="auto"/>
      <w:outlineLvl w:val="0"/>
    </w:pPr>
    <w:rPr>
      <w:rFonts w:ascii="Times New Roman" w:hAnsi="Times New Roman"/>
      <w:b/>
      <w:bCs/>
      <w:kern w:val="44"/>
      <w:sz w:val="44"/>
      <w:szCs w:val="44"/>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9"/>
    <w:uiPriority w:val="0"/>
    <w:pPr>
      <w:shd w:val="clear" w:color="auto" w:fill="000080"/>
    </w:pPr>
    <w:rPr>
      <w:rFonts w:ascii="Times New Roman" w:hAnsi="Times New Roman"/>
    </w:rPr>
  </w:style>
  <w:style w:type="paragraph" w:styleId="4">
    <w:name w:val="annotation text"/>
    <w:basedOn w:val="1"/>
    <w:link w:val="50"/>
    <w:qFormat/>
    <w:uiPriority w:val="99"/>
    <w:pPr>
      <w:jc w:val="left"/>
    </w:pPr>
  </w:style>
  <w:style w:type="paragraph" w:styleId="5">
    <w:name w:val="Body Text Indent"/>
    <w:basedOn w:val="1"/>
    <w:link w:val="43"/>
    <w:uiPriority w:val="99"/>
    <w:pPr>
      <w:ind w:firstLine="600" w:firstLineChars="200"/>
    </w:pPr>
    <w:rPr>
      <w:rFonts w:ascii="Times New Roman" w:hAnsi="Times New Roman" w:eastAsia="仿宋_GB2312"/>
      <w:kern w:val="0"/>
      <w:sz w:val="24"/>
    </w:rPr>
  </w:style>
  <w:style w:type="paragraph" w:styleId="6">
    <w:name w:val="Plain Text"/>
    <w:basedOn w:val="1"/>
    <w:link w:val="38"/>
    <w:uiPriority w:val="99"/>
    <w:rPr>
      <w:rFonts w:ascii="宋体" w:hAnsi="Courier New"/>
      <w:kern w:val="0"/>
      <w:sz w:val="20"/>
      <w:szCs w:val="20"/>
    </w:rPr>
  </w:style>
  <w:style w:type="paragraph" w:styleId="7">
    <w:name w:val="Date"/>
    <w:basedOn w:val="1"/>
    <w:next w:val="1"/>
    <w:link w:val="53"/>
    <w:uiPriority w:val="0"/>
    <w:pPr>
      <w:ind w:left="100" w:leftChars="2500"/>
    </w:pPr>
    <w:rPr>
      <w:szCs w:val="21"/>
    </w:rPr>
  </w:style>
  <w:style w:type="paragraph" w:styleId="8">
    <w:name w:val="Balloon Text"/>
    <w:basedOn w:val="1"/>
    <w:link w:val="22"/>
    <w:qFormat/>
    <w:uiPriority w:val="99"/>
    <w:rPr>
      <w:sz w:val="18"/>
      <w:szCs w:val="18"/>
    </w:rPr>
  </w:style>
  <w:style w:type="paragraph" w:styleId="9">
    <w:name w:val="footer"/>
    <w:basedOn w:val="1"/>
    <w:link w:val="41"/>
    <w:qFormat/>
    <w:uiPriority w:val="99"/>
    <w:pPr>
      <w:tabs>
        <w:tab w:val="center" w:pos="4153"/>
        <w:tab w:val="right" w:pos="8306"/>
      </w:tabs>
      <w:snapToGrid w:val="0"/>
      <w:jc w:val="left"/>
    </w:pPr>
    <w:rPr>
      <w:sz w:val="18"/>
      <w:szCs w:val="18"/>
    </w:rPr>
  </w:style>
  <w:style w:type="paragraph" w:styleId="10">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35"/>
    <w:uiPriority w:val="0"/>
    <w:pPr>
      <w:adjustRightInd w:val="0"/>
      <w:snapToGrid w:val="0"/>
      <w:spacing w:line="560" w:lineRule="atLeast"/>
      <w:ind w:firstLine="600" w:firstLineChars="200"/>
    </w:pPr>
    <w:rPr>
      <w:rFonts w:ascii="楷体_GB2312" w:hAnsi="Times New Roman" w:eastAsia="楷体_GB2312"/>
      <w:sz w:val="30"/>
      <w:szCs w:val="28"/>
    </w:rPr>
  </w:style>
  <w:style w:type="paragraph" w:styleId="12">
    <w:name w:val="Normal (Web)"/>
    <w:basedOn w:val="1"/>
    <w:qFormat/>
    <w:uiPriority w:val="99"/>
    <w:pPr>
      <w:spacing w:before="100" w:beforeAutospacing="1" w:after="100" w:afterAutospacing="1"/>
      <w:jc w:val="left"/>
    </w:pPr>
    <w:rPr>
      <w:kern w:val="0"/>
      <w:sz w:val="24"/>
    </w:rPr>
  </w:style>
  <w:style w:type="paragraph" w:styleId="13">
    <w:name w:val="annotation subject"/>
    <w:basedOn w:val="4"/>
    <w:next w:val="4"/>
    <w:link w:val="51"/>
    <w:unhideWhenUsed/>
    <w:uiPriority w:val="99"/>
    <w:rPr>
      <w:b/>
      <w:bCs/>
      <w:szCs w:val="21"/>
    </w:rPr>
  </w:style>
  <w:style w:type="table" w:styleId="15">
    <w:name w:val="Table Grid"/>
    <w:basedOn w:val="14"/>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page number"/>
    <w:basedOn w:val="16"/>
    <w:uiPriority w:val="99"/>
  </w:style>
  <w:style w:type="character" w:styleId="19">
    <w:name w:val="FollowedHyperlink"/>
    <w:basedOn w:val="16"/>
    <w:qFormat/>
    <w:uiPriority w:val="0"/>
    <w:rPr>
      <w:color w:val="00A7D8"/>
      <w:u w:val="none"/>
    </w:rPr>
  </w:style>
  <w:style w:type="character" w:styleId="20">
    <w:name w:val="Hyperlink"/>
    <w:basedOn w:val="16"/>
    <w:qFormat/>
    <w:uiPriority w:val="99"/>
    <w:rPr>
      <w:color w:val="444444"/>
      <w:u w:val="none"/>
    </w:rPr>
  </w:style>
  <w:style w:type="character" w:styleId="21">
    <w:name w:val="annotation reference"/>
    <w:unhideWhenUsed/>
    <w:uiPriority w:val="99"/>
    <w:rPr>
      <w:sz w:val="21"/>
      <w:szCs w:val="21"/>
    </w:rPr>
  </w:style>
  <w:style w:type="character" w:customStyle="1" w:styleId="22">
    <w:name w:val="批注框文本 Char"/>
    <w:link w:val="8"/>
    <w:qFormat/>
    <w:uiPriority w:val="99"/>
    <w:rPr>
      <w:kern w:val="2"/>
      <w:sz w:val="18"/>
      <w:szCs w:val="18"/>
    </w:rPr>
  </w:style>
  <w:style w:type="paragraph" w:customStyle="1" w:styleId="2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4">
    <w:name w:val="Table Paragraph"/>
    <w:basedOn w:val="1"/>
    <w:qFormat/>
    <w:uiPriority w:val="1"/>
    <w:rPr>
      <w:rFonts w:ascii="宋体" w:hAnsi="宋体" w:cs="宋体"/>
      <w:lang w:val="zh-CN" w:bidi="zh-CN"/>
    </w:rPr>
  </w:style>
  <w:style w:type="paragraph" w:customStyle="1" w:styleId="25">
    <w:name w:val="Char"/>
    <w:basedOn w:val="1"/>
    <w:uiPriority w:val="0"/>
    <w:pPr>
      <w:widowControl/>
      <w:spacing w:after="160" w:line="240" w:lineRule="exact"/>
      <w:jc w:val="left"/>
    </w:pPr>
    <w:rPr>
      <w:rFonts w:ascii="Verdana" w:hAnsi="Verdana"/>
      <w:kern w:val="0"/>
      <w:sz w:val="18"/>
      <w:szCs w:val="20"/>
      <w:lang w:eastAsia="en-US"/>
    </w:rPr>
  </w:style>
  <w:style w:type="paragraph" w:customStyle="1" w:styleId="26">
    <w:name w:val="正文+宋体"/>
    <w:basedOn w:val="1"/>
    <w:qFormat/>
    <w:uiPriority w:val="0"/>
  </w:style>
  <w:style w:type="paragraph" w:customStyle="1" w:styleId="27">
    <w:name w:val="段"/>
    <w:link w:val="57"/>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28">
    <w:name w:val="标题 1 Char"/>
    <w:basedOn w:val="16"/>
    <w:link w:val="2"/>
    <w:uiPriority w:val="99"/>
    <w:rPr>
      <w:rFonts w:ascii="Times New Roman" w:hAnsi="Times New Roman"/>
      <w:b/>
      <w:bCs/>
      <w:kern w:val="44"/>
      <w:sz w:val="44"/>
      <w:szCs w:val="44"/>
    </w:rPr>
  </w:style>
  <w:style w:type="character" w:customStyle="1" w:styleId="29">
    <w:name w:val="文档结构图 Char"/>
    <w:basedOn w:val="16"/>
    <w:link w:val="3"/>
    <w:uiPriority w:val="0"/>
    <w:rPr>
      <w:rFonts w:ascii="Times New Roman" w:hAnsi="Times New Roman"/>
      <w:kern w:val="2"/>
      <w:sz w:val="21"/>
      <w:szCs w:val="24"/>
      <w:shd w:val="clear" w:color="auto" w:fill="000080"/>
    </w:rPr>
  </w:style>
  <w:style w:type="paragraph" w:customStyle="1" w:styleId="30">
    <w:name w:val="段落"/>
    <w:basedOn w:val="1"/>
    <w:uiPriority w:val="0"/>
    <w:pPr>
      <w:adjustRightInd w:val="0"/>
      <w:spacing w:line="360" w:lineRule="auto"/>
      <w:ind w:firstLine="630"/>
      <w:textAlignment w:val="baseline"/>
    </w:pPr>
    <w:rPr>
      <w:rFonts w:ascii="Times New Roman" w:hAnsi="Times New Roman" w:eastAsia="仿宋_GB2312"/>
      <w:kern w:val="0"/>
      <w:sz w:val="28"/>
      <w:szCs w:val="20"/>
    </w:rPr>
  </w:style>
  <w:style w:type="paragraph" w:customStyle="1" w:styleId="31">
    <w:name w:val="reader-word-layer reader-word-s4-16"/>
    <w:basedOn w:val="1"/>
    <w:uiPriority w:val="0"/>
    <w:pPr>
      <w:widowControl/>
      <w:spacing w:before="100" w:beforeAutospacing="1" w:after="100" w:afterAutospacing="1"/>
      <w:jc w:val="left"/>
    </w:pPr>
    <w:rPr>
      <w:rFonts w:ascii="宋体" w:hAnsi="宋体" w:cs="宋体"/>
      <w:kern w:val="0"/>
      <w:sz w:val="24"/>
    </w:rPr>
  </w:style>
  <w:style w:type="paragraph" w:customStyle="1" w:styleId="32">
    <w:name w:val="reader-word-layer reader-word-s4-7"/>
    <w:basedOn w:val="1"/>
    <w:uiPriority w:val="0"/>
    <w:pPr>
      <w:widowControl/>
      <w:spacing w:before="100" w:beforeAutospacing="1" w:after="100" w:afterAutospacing="1"/>
      <w:jc w:val="left"/>
    </w:pPr>
    <w:rPr>
      <w:rFonts w:ascii="宋体" w:hAnsi="宋体" w:cs="宋体"/>
      <w:kern w:val="0"/>
      <w:sz w:val="24"/>
    </w:rPr>
  </w:style>
  <w:style w:type="paragraph" w:customStyle="1" w:styleId="33">
    <w:name w:val="reader-word-layer reader-word-s4-5"/>
    <w:basedOn w:val="1"/>
    <w:uiPriority w:val="0"/>
    <w:pPr>
      <w:widowControl/>
      <w:spacing w:before="100" w:beforeAutospacing="1" w:after="100" w:afterAutospacing="1"/>
      <w:jc w:val="left"/>
    </w:pPr>
    <w:rPr>
      <w:rFonts w:ascii="宋体" w:hAnsi="宋体" w:cs="宋体"/>
      <w:kern w:val="0"/>
      <w:sz w:val="24"/>
    </w:rPr>
  </w:style>
  <w:style w:type="paragraph" w:customStyle="1" w:styleId="34">
    <w:name w:val="reader-word-layer reader-word-s4-21"/>
    <w:basedOn w:val="1"/>
    <w:uiPriority w:val="0"/>
    <w:pPr>
      <w:widowControl/>
      <w:spacing w:before="100" w:beforeAutospacing="1" w:after="100" w:afterAutospacing="1"/>
      <w:jc w:val="left"/>
    </w:pPr>
    <w:rPr>
      <w:rFonts w:ascii="宋体" w:hAnsi="宋体" w:cs="宋体"/>
      <w:kern w:val="0"/>
      <w:sz w:val="24"/>
    </w:rPr>
  </w:style>
  <w:style w:type="character" w:customStyle="1" w:styleId="35">
    <w:name w:val="正文文本缩进 3 Char"/>
    <w:basedOn w:val="16"/>
    <w:link w:val="11"/>
    <w:uiPriority w:val="0"/>
    <w:rPr>
      <w:rFonts w:ascii="楷体_GB2312" w:hAnsi="Times New Roman" w:eastAsia="楷体_GB2312"/>
      <w:kern w:val="2"/>
      <w:sz w:val="30"/>
      <w:szCs w:val="28"/>
    </w:rPr>
  </w:style>
  <w:style w:type="paragraph" w:customStyle="1" w:styleId="36">
    <w:name w:val="custom_unionstyle"/>
    <w:basedOn w:val="1"/>
    <w:uiPriority w:val="0"/>
    <w:pPr>
      <w:widowControl/>
      <w:spacing w:before="100" w:beforeAutospacing="1" w:after="100" w:afterAutospacing="1"/>
      <w:jc w:val="left"/>
    </w:pPr>
    <w:rPr>
      <w:rFonts w:ascii="宋体" w:hAnsi="宋体" w:cs="宋体"/>
      <w:kern w:val="0"/>
      <w:sz w:val="24"/>
    </w:rPr>
  </w:style>
  <w:style w:type="character" w:customStyle="1" w:styleId="37">
    <w:name w:val="apple-converted-space"/>
    <w:basedOn w:val="16"/>
    <w:uiPriority w:val="99"/>
  </w:style>
  <w:style w:type="character" w:customStyle="1" w:styleId="38">
    <w:name w:val="纯文本 Char"/>
    <w:basedOn w:val="16"/>
    <w:link w:val="6"/>
    <w:uiPriority w:val="99"/>
    <w:rPr>
      <w:rFonts w:ascii="宋体" w:hAnsi="Courier New"/>
    </w:rPr>
  </w:style>
  <w:style w:type="paragraph" w:customStyle="1" w:styleId="39">
    <w:name w:val="列出段落1"/>
    <w:basedOn w:val="1"/>
    <w:uiPriority w:val="99"/>
    <w:pPr>
      <w:ind w:firstLine="420" w:firstLineChars="200"/>
    </w:pPr>
    <w:rPr>
      <w:rFonts w:cs="Calibri"/>
      <w:szCs w:val="21"/>
    </w:rPr>
  </w:style>
  <w:style w:type="character" w:customStyle="1" w:styleId="40">
    <w:name w:val="页眉 Char"/>
    <w:link w:val="10"/>
    <w:locked/>
    <w:uiPriority w:val="99"/>
    <w:rPr>
      <w:kern w:val="2"/>
      <w:sz w:val="18"/>
      <w:szCs w:val="18"/>
    </w:rPr>
  </w:style>
  <w:style w:type="character" w:customStyle="1" w:styleId="41">
    <w:name w:val="页脚 Char"/>
    <w:link w:val="9"/>
    <w:locked/>
    <w:uiPriority w:val="99"/>
    <w:rPr>
      <w:kern w:val="2"/>
      <w:sz w:val="18"/>
      <w:szCs w:val="18"/>
    </w:rPr>
  </w:style>
  <w:style w:type="paragraph" w:styleId="42">
    <w:name w:val="List Paragraph"/>
    <w:basedOn w:val="1"/>
    <w:qFormat/>
    <w:uiPriority w:val="99"/>
    <w:pPr>
      <w:ind w:firstLine="420" w:firstLineChars="200"/>
    </w:pPr>
    <w:rPr>
      <w:rFonts w:cs="Calibri"/>
      <w:szCs w:val="21"/>
    </w:rPr>
  </w:style>
  <w:style w:type="character" w:customStyle="1" w:styleId="43">
    <w:name w:val="正文文本缩进 Char"/>
    <w:basedOn w:val="16"/>
    <w:link w:val="5"/>
    <w:uiPriority w:val="99"/>
    <w:rPr>
      <w:rFonts w:ascii="Times New Roman" w:hAnsi="Times New Roman" w:eastAsia="仿宋_GB2312"/>
      <w:sz w:val="24"/>
      <w:szCs w:val="24"/>
    </w:rPr>
  </w:style>
  <w:style w:type="character" w:customStyle="1" w:styleId="44">
    <w:name w:val="页眉 字符"/>
    <w:uiPriority w:val="0"/>
    <w:rPr>
      <w:kern w:val="2"/>
      <w:sz w:val="18"/>
      <w:szCs w:val="18"/>
    </w:rPr>
  </w:style>
  <w:style w:type="character" w:customStyle="1" w:styleId="45">
    <w:name w:val="highlight"/>
    <w:basedOn w:val="16"/>
    <w:uiPriority w:val="99"/>
  </w:style>
  <w:style w:type="paragraph" w:customStyle="1" w:styleId="46">
    <w:name w:val="样式1"/>
    <w:basedOn w:val="1"/>
    <w:link w:val="48"/>
    <w:uiPriority w:val="99"/>
    <w:pPr>
      <w:spacing w:line="360" w:lineRule="auto"/>
      <w:jc w:val="center"/>
    </w:pPr>
    <w:rPr>
      <w:rFonts w:ascii="宋体"/>
      <w:b/>
      <w:bCs/>
      <w:color w:val="000000"/>
      <w:kern w:val="0"/>
      <w:sz w:val="36"/>
      <w:szCs w:val="36"/>
    </w:rPr>
  </w:style>
  <w:style w:type="paragraph" w:customStyle="1" w:styleId="47">
    <w:name w:val="样式2"/>
    <w:basedOn w:val="1"/>
    <w:uiPriority w:val="99"/>
    <w:pPr>
      <w:snapToGrid w:val="0"/>
      <w:spacing w:line="360" w:lineRule="auto"/>
      <w:jc w:val="center"/>
    </w:pPr>
    <w:rPr>
      <w:rFonts w:ascii="宋体" w:hAnsi="宋体" w:cs="宋体"/>
      <w:b/>
      <w:bCs/>
      <w:sz w:val="28"/>
      <w:szCs w:val="28"/>
    </w:rPr>
  </w:style>
  <w:style w:type="character" w:customStyle="1" w:styleId="48">
    <w:name w:val="样式1 Char"/>
    <w:link w:val="46"/>
    <w:locked/>
    <w:uiPriority w:val="99"/>
    <w:rPr>
      <w:rFonts w:ascii="宋体"/>
      <w:b/>
      <w:bCs/>
      <w:color w:val="000000"/>
      <w:sz w:val="36"/>
      <w:szCs w:val="36"/>
    </w:rPr>
  </w:style>
  <w:style w:type="character" w:customStyle="1" w:styleId="49">
    <w:name w:val="批注文字 Char"/>
    <w:uiPriority w:val="99"/>
    <w:rPr>
      <w:rFonts w:ascii="Calibri" w:hAnsi="Calibri"/>
      <w:kern w:val="2"/>
      <w:sz w:val="21"/>
      <w:szCs w:val="21"/>
    </w:rPr>
  </w:style>
  <w:style w:type="character" w:customStyle="1" w:styleId="50">
    <w:name w:val="批注文字 Char1"/>
    <w:basedOn w:val="16"/>
    <w:link w:val="4"/>
    <w:uiPriority w:val="99"/>
    <w:rPr>
      <w:kern w:val="2"/>
      <w:sz w:val="21"/>
      <w:szCs w:val="24"/>
    </w:rPr>
  </w:style>
  <w:style w:type="character" w:customStyle="1" w:styleId="51">
    <w:name w:val="批注主题 Char"/>
    <w:basedOn w:val="50"/>
    <w:link w:val="13"/>
    <w:uiPriority w:val="99"/>
    <w:rPr>
      <w:b/>
      <w:bCs/>
      <w:szCs w:val="21"/>
    </w:rPr>
  </w:style>
  <w:style w:type="paragraph" w:customStyle="1" w:styleId="52">
    <w:name w:val="Revision"/>
    <w:hidden/>
    <w:semiHidden/>
    <w:uiPriority w:val="99"/>
    <w:rPr>
      <w:rFonts w:ascii="Calibri" w:hAnsi="Calibri" w:eastAsia="宋体" w:cs="Calibri"/>
      <w:kern w:val="2"/>
      <w:sz w:val="21"/>
      <w:szCs w:val="21"/>
      <w:lang w:val="en-US" w:eastAsia="zh-CN" w:bidi="ar-SA"/>
    </w:rPr>
  </w:style>
  <w:style w:type="character" w:customStyle="1" w:styleId="53">
    <w:name w:val="日期 Char"/>
    <w:basedOn w:val="16"/>
    <w:link w:val="7"/>
    <w:uiPriority w:val="0"/>
    <w:rPr>
      <w:kern w:val="2"/>
      <w:sz w:val="21"/>
      <w:szCs w:val="21"/>
    </w:rPr>
  </w:style>
  <w:style w:type="character" w:customStyle="1" w:styleId="54">
    <w:name w:val="Plain Text Char"/>
    <w:semiHidden/>
    <w:locked/>
    <w:uiPriority w:val="0"/>
    <w:rPr>
      <w:rFonts w:ascii="宋体" w:hAnsi="Courier New" w:eastAsia="宋体" w:cs="Times New Roman"/>
      <w:kern w:val="0"/>
      <w:sz w:val="20"/>
      <w:szCs w:val="20"/>
    </w:rPr>
  </w:style>
  <w:style w:type="character" w:customStyle="1" w:styleId="55">
    <w:name w:val="页脚 字符"/>
    <w:uiPriority w:val="0"/>
    <w:rPr>
      <w:kern w:val="2"/>
      <w:sz w:val="18"/>
      <w:szCs w:val="18"/>
    </w:rPr>
  </w:style>
  <w:style w:type="character" w:customStyle="1" w:styleId="56">
    <w:name w:val="纯文本 字符"/>
    <w:uiPriority w:val="0"/>
    <w:rPr>
      <w:rFonts w:ascii="宋体" w:hAnsi="Courier New"/>
      <w:kern w:val="2"/>
      <w:sz w:val="21"/>
    </w:rPr>
  </w:style>
  <w:style w:type="character" w:customStyle="1" w:styleId="57">
    <w:name w:val="段 Char"/>
    <w:link w:val="27"/>
    <w:uiPriority w:val="0"/>
    <w:rPr>
      <w:rFonts w:ascii="宋体" w:eastAsia="Times New Roman"/>
      <w:sz w:val="21"/>
      <w:szCs w:val="22"/>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2C48A-B780-4584-8511-5EAE96ADDCCC}">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1194</Words>
  <Characters>6811</Characters>
  <Lines>56</Lines>
  <Paragraphs>15</Paragraphs>
  <TotalTime>77</TotalTime>
  <ScaleCrop>false</ScaleCrop>
  <LinksUpToDate>false</LinksUpToDate>
  <CharactersWithSpaces>7990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2020-03-31T08:18:00Z</dcterms:created>
  <dc:creator>cj_wong</dc:creator>
  <cp:lastModifiedBy>高欣欣</cp:lastModifiedBy>
  <cp:lastPrinted>2020-01-09T02:23:00Z</cp:lastPrinted>
  <dcterms:modified xsi:type="dcterms:W3CDTF">2020-11-16T01:34:41Z</dcterms:modified>
  <dc:title>XXXX年第X批风险监测实施方案</dc:title>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